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6B" w:rsidRPr="00433C6B" w:rsidRDefault="00014DED" w:rsidP="00433C6B">
      <w:pPr>
        <w:spacing w:line="240" w:lineRule="exact"/>
        <w:jc w:val="right"/>
        <w:rPr>
          <w:rFonts w:asciiTheme="minorHAnsi" w:hAnsiTheme="minorHAnsi"/>
          <w:sz w:val="20"/>
          <w:szCs w:val="20"/>
        </w:rPr>
      </w:pPr>
      <w:r>
        <w:rPr>
          <w:rFonts w:asciiTheme="minorHAnsi" w:hAnsiTheme="minorHAnsi"/>
          <w:sz w:val="20"/>
          <w:szCs w:val="20"/>
        </w:rPr>
        <w:t>Chęciny, dnia 26</w:t>
      </w:r>
      <w:r w:rsidR="00433C6B" w:rsidRPr="00433C6B">
        <w:rPr>
          <w:rFonts w:asciiTheme="minorHAnsi" w:hAnsiTheme="minorHAnsi"/>
          <w:sz w:val="20"/>
          <w:szCs w:val="20"/>
        </w:rPr>
        <w:t>-11-2019r.</w:t>
      </w:r>
    </w:p>
    <w:p w:rsidR="00433C6B" w:rsidRPr="00433C6B" w:rsidRDefault="00433C6B" w:rsidP="00433C6B">
      <w:pPr>
        <w:spacing w:line="240" w:lineRule="exact"/>
        <w:rPr>
          <w:rFonts w:asciiTheme="minorHAnsi" w:hAnsiTheme="minorHAnsi"/>
          <w:sz w:val="20"/>
          <w:szCs w:val="20"/>
        </w:rPr>
      </w:pPr>
      <w:r w:rsidRPr="00433C6B">
        <w:rPr>
          <w:rFonts w:asciiTheme="minorHAnsi" w:hAnsiTheme="minorHAnsi"/>
          <w:sz w:val="20"/>
          <w:szCs w:val="20"/>
        </w:rPr>
        <w:t xml:space="preserve">Znak sprawy: </w:t>
      </w:r>
      <w:r w:rsidR="00014DED">
        <w:rPr>
          <w:rFonts w:asciiTheme="minorHAnsi" w:hAnsiTheme="minorHAnsi"/>
          <w:b/>
          <w:sz w:val="20"/>
          <w:szCs w:val="20"/>
        </w:rPr>
        <w:t>ZP-1556-2019-2</w:t>
      </w:r>
    </w:p>
    <w:p w:rsidR="00433C6B" w:rsidRPr="00433C6B" w:rsidRDefault="00433C6B" w:rsidP="00814504">
      <w:pPr>
        <w:jc w:val="right"/>
        <w:rPr>
          <w:rFonts w:asciiTheme="minorHAnsi" w:hAnsiTheme="minorHAnsi"/>
          <w:b/>
          <w:sz w:val="24"/>
          <w:szCs w:val="24"/>
        </w:rPr>
      </w:pPr>
      <w:r w:rsidRPr="00433C6B">
        <w:rPr>
          <w:rFonts w:asciiTheme="minorHAnsi" w:hAnsiTheme="minorHAnsi"/>
          <w:b/>
          <w:sz w:val="24"/>
          <w:szCs w:val="24"/>
        </w:rPr>
        <w:t>Uczestnicy postępowania przetargowego</w:t>
      </w:r>
    </w:p>
    <w:p w:rsidR="00433C6B" w:rsidRPr="00433C6B" w:rsidRDefault="00433C6B" w:rsidP="00433C6B">
      <w:pPr>
        <w:ind w:firstLine="708"/>
        <w:jc w:val="both"/>
        <w:rPr>
          <w:rFonts w:cs="Calibri"/>
          <w:sz w:val="24"/>
          <w:szCs w:val="24"/>
        </w:rPr>
      </w:pPr>
      <w:r w:rsidRPr="00433C6B">
        <w:rPr>
          <w:rFonts w:asciiTheme="minorHAnsi" w:hAnsiTheme="minorHAnsi"/>
          <w:sz w:val="24"/>
          <w:szCs w:val="24"/>
        </w:rPr>
        <w:t>Wojewódzki Szpital Specjalistyczny im. św. Rafała ul. Czerwona Góra nr 10, 26-060 Chęciny działając w oparciu o art. 38 ust. 1, 1a, 1b, 2, 4 Ust</w:t>
      </w:r>
      <w:r w:rsidR="000627CB">
        <w:rPr>
          <w:rFonts w:asciiTheme="minorHAnsi" w:hAnsiTheme="minorHAnsi"/>
          <w:sz w:val="24"/>
          <w:szCs w:val="24"/>
        </w:rPr>
        <w:t xml:space="preserve">awy Prawo Zamówień Publicznych </w:t>
      </w:r>
      <w:r w:rsidRPr="00D84D0D">
        <w:rPr>
          <w:rFonts w:cs="Calibri"/>
          <w:sz w:val="24"/>
          <w:szCs w:val="24"/>
        </w:rPr>
        <w:t>wyjaśnia treść Specyfikacji Istotnych Warunków Zamówienia w poniższym zakresie:</w:t>
      </w:r>
    </w:p>
    <w:p w:rsidR="00433C6B" w:rsidRPr="00433C6B" w:rsidRDefault="00433C6B" w:rsidP="00433C6B">
      <w:pPr>
        <w:pStyle w:val="Nagwek3"/>
        <w:spacing w:before="0" w:after="0"/>
        <w:rPr>
          <w:rFonts w:asciiTheme="minorHAnsi" w:hAnsiTheme="minorHAnsi" w:cs="Times New Roman"/>
          <w:i/>
          <w:sz w:val="14"/>
          <w:szCs w:val="14"/>
        </w:rPr>
      </w:pPr>
      <w:r w:rsidRPr="00433C6B">
        <w:rPr>
          <w:rFonts w:asciiTheme="minorHAnsi" w:hAnsiTheme="minorHAnsi" w:cs="Times New Roman"/>
          <w:i/>
          <w:sz w:val="14"/>
          <w:szCs w:val="14"/>
        </w:rPr>
        <w:t>Art. 38. ust 1, 1a, 1b, 2, 4 Ustawy Prawo zamówień publicznych.</w:t>
      </w:r>
    </w:p>
    <w:p w:rsidR="00433C6B" w:rsidRPr="00433C6B" w:rsidRDefault="00433C6B" w:rsidP="00433C6B">
      <w:pPr>
        <w:pStyle w:val="ust"/>
        <w:tabs>
          <w:tab w:val="left" w:pos="284"/>
          <w:tab w:val="left" w:pos="567"/>
        </w:tabs>
        <w:spacing w:before="0" w:after="0" w:line="240" w:lineRule="exact"/>
        <w:ind w:left="540" w:hanging="567"/>
        <w:jc w:val="left"/>
        <w:rPr>
          <w:rFonts w:asciiTheme="minorHAnsi" w:hAnsiTheme="minorHAnsi"/>
          <w:i/>
          <w:sz w:val="14"/>
          <w:szCs w:val="14"/>
        </w:rPr>
      </w:pPr>
      <w:r w:rsidRPr="00433C6B">
        <w:rPr>
          <w:rFonts w:asciiTheme="minorHAnsi" w:hAnsiTheme="minorHAnsi"/>
          <w:i/>
          <w:sz w:val="14"/>
          <w:szCs w:val="14"/>
        </w:rPr>
        <w:t>1.</w:t>
      </w:r>
      <w:r w:rsidRPr="00433C6B">
        <w:rPr>
          <w:rFonts w:asciiTheme="minorHAnsi" w:hAnsiTheme="minorHAnsi"/>
          <w:i/>
          <w:sz w:val="14"/>
          <w:szCs w:val="14"/>
        </w:rPr>
        <w:tab/>
      </w:r>
      <w:r w:rsidRPr="00433C6B">
        <w:rPr>
          <w:rFonts w:asciiTheme="minorHAnsi" w:hAnsiTheme="minorHAnsi"/>
          <w:i/>
          <w:sz w:val="14"/>
          <w:szCs w:val="14"/>
        </w:rPr>
        <w:tab/>
        <w:t>Wykonawca może zwrócić się do zamawiającego o wyjaśnie</w:t>
      </w:r>
      <w:r w:rsidRPr="00433C6B">
        <w:rPr>
          <w:rFonts w:asciiTheme="minorHAnsi" w:hAnsiTheme="minorHAnsi"/>
          <w:i/>
          <w:sz w:val="14"/>
          <w:szCs w:val="14"/>
        </w:rPr>
        <w:softHyphen/>
        <w:t xml:space="preserve">nie treści SIWZ. Zamawiający jest zobowiązany udzielić wyjaśnień niezwłocznie, jednak nie później niż: </w:t>
      </w:r>
    </w:p>
    <w:p w:rsidR="00433C6B" w:rsidRPr="00433C6B" w:rsidRDefault="00433C6B" w:rsidP="00433C6B">
      <w:pPr>
        <w:pStyle w:val="ust"/>
        <w:tabs>
          <w:tab w:val="left" w:pos="284"/>
          <w:tab w:val="left" w:pos="567"/>
        </w:tabs>
        <w:spacing w:before="0" w:after="0" w:line="240" w:lineRule="exact"/>
        <w:jc w:val="left"/>
        <w:rPr>
          <w:rFonts w:asciiTheme="minorHAnsi" w:hAnsiTheme="minorHAnsi"/>
          <w:i/>
          <w:sz w:val="14"/>
          <w:szCs w:val="14"/>
        </w:rPr>
      </w:pPr>
      <w:r w:rsidRPr="00433C6B">
        <w:rPr>
          <w:rFonts w:asciiTheme="minorHAnsi" w:hAnsiTheme="minorHAnsi"/>
          <w:i/>
          <w:sz w:val="14"/>
          <w:szCs w:val="14"/>
        </w:rPr>
        <w:tab/>
      </w:r>
      <w:r w:rsidRPr="00433C6B">
        <w:rPr>
          <w:rFonts w:asciiTheme="minorHAnsi" w:hAnsiTheme="minorHAnsi"/>
          <w:i/>
          <w:sz w:val="14"/>
          <w:szCs w:val="14"/>
        </w:rPr>
        <w:tab/>
      </w:r>
      <w:r w:rsidRPr="00433C6B">
        <w:rPr>
          <w:rFonts w:asciiTheme="minorHAnsi" w:hAnsiTheme="minorHAnsi"/>
          <w:i/>
          <w:sz w:val="14"/>
          <w:szCs w:val="14"/>
        </w:rPr>
        <w:tab/>
        <w:t>1) na 6 dni przed upływem terminu składania ofert;</w:t>
      </w:r>
    </w:p>
    <w:p w:rsidR="00433C6B" w:rsidRPr="00433C6B" w:rsidRDefault="00433C6B" w:rsidP="00433C6B">
      <w:pPr>
        <w:pStyle w:val="ust"/>
        <w:tabs>
          <w:tab w:val="left" w:pos="284"/>
          <w:tab w:val="left" w:pos="567"/>
        </w:tabs>
        <w:spacing w:before="0" w:after="0" w:line="240" w:lineRule="exact"/>
        <w:ind w:left="540"/>
        <w:jc w:val="left"/>
        <w:rPr>
          <w:rFonts w:asciiTheme="minorHAnsi" w:hAnsiTheme="minorHAnsi"/>
          <w:i/>
          <w:sz w:val="14"/>
          <w:szCs w:val="14"/>
        </w:rPr>
      </w:pPr>
      <w:r w:rsidRPr="00433C6B">
        <w:rPr>
          <w:rFonts w:asciiTheme="minorHAnsi" w:hAnsiTheme="minorHAnsi"/>
          <w:i/>
          <w:sz w:val="14"/>
          <w:szCs w:val="14"/>
        </w:rPr>
        <w:tab/>
      </w:r>
      <w:r w:rsidRPr="00433C6B">
        <w:rPr>
          <w:rFonts w:asciiTheme="minorHAnsi" w:hAnsiTheme="minorHAnsi"/>
          <w:i/>
          <w:sz w:val="14"/>
          <w:szCs w:val="14"/>
        </w:rPr>
        <w:tab/>
        <w:t xml:space="preserve">2) na 4 dni przed upływem terminu składania ofert - w przetargu ograniczonym oraz </w:t>
      </w:r>
      <w:proofErr w:type="gramStart"/>
      <w:r w:rsidRPr="00433C6B">
        <w:rPr>
          <w:rFonts w:asciiTheme="minorHAnsi" w:hAnsiTheme="minorHAnsi"/>
          <w:i/>
          <w:sz w:val="14"/>
          <w:szCs w:val="14"/>
        </w:rPr>
        <w:t>negocjacjach   z</w:t>
      </w:r>
      <w:proofErr w:type="gramEnd"/>
      <w:r w:rsidRPr="00433C6B">
        <w:rPr>
          <w:rFonts w:asciiTheme="minorHAnsi" w:hAnsiTheme="minorHAnsi"/>
          <w:i/>
          <w:sz w:val="14"/>
          <w:szCs w:val="14"/>
        </w:rPr>
        <w:t xml:space="preserve"> ogłoszeniem, jeżeli zachodzi pilna potrzeba udzielenia zamówienia; </w:t>
      </w:r>
    </w:p>
    <w:p w:rsidR="00433C6B" w:rsidRPr="00433C6B" w:rsidRDefault="00433C6B" w:rsidP="00433C6B">
      <w:pPr>
        <w:pStyle w:val="ust"/>
        <w:tabs>
          <w:tab w:val="left" w:pos="284"/>
          <w:tab w:val="left" w:pos="567"/>
        </w:tabs>
        <w:spacing w:before="0" w:after="0" w:line="240" w:lineRule="exact"/>
        <w:ind w:left="540"/>
        <w:jc w:val="left"/>
        <w:rPr>
          <w:rFonts w:asciiTheme="minorHAnsi" w:hAnsiTheme="minorHAnsi"/>
          <w:i/>
          <w:sz w:val="14"/>
          <w:szCs w:val="14"/>
        </w:rPr>
      </w:pPr>
      <w:r w:rsidRPr="00433C6B">
        <w:rPr>
          <w:rFonts w:asciiTheme="minorHAnsi" w:hAnsiTheme="minorHAnsi"/>
          <w:i/>
          <w:sz w:val="14"/>
          <w:szCs w:val="14"/>
        </w:rPr>
        <w:tab/>
      </w:r>
      <w:r w:rsidRPr="00433C6B">
        <w:rPr>
          <w:rFonts w:asciiTheme="minorHAnsi" w:hAnsiTheme="minorHAnsi"/>
          <w:i/>
          <w:sz w:val="14"/>
          <w:szCs w:val="14"/>
        </w:rPr>
        <w:tab/>
        <w:t>3) na 2 dni przed upływem terminu składania ofert - jeżeli wartość zamówienia jest mniejsza niż</w:t>
      </w:r>
      <w:r w:rsidRPr="00433C6B">
        <w:rPr>
          <w:rFonts w:asciiTheme="minorHAnsi" w:hAnsiTheme="minorHAnsi"/>
          <w:i/>
          <w:sz w:val="14"/>
          <w:szCs w:val="14"/>
        </w:rPr>
        <w:br/>
        <w:t>kwoty określone w przepisach wydanych na podstawie art.11 ust.8</w:t>
      </w:r>
    </w:p>
    <w:p w:rsidR="00433C6B" w:rsidRPr="00433C6B" w:rsidRDefault="00433C6B" w:rsidP="00433C6B">
      <w:pPr>
        <w:pStyle w:val="ust"/>
        <w:tabs>
          <w:tab w:val="left" w:pos="284"/>
          <w:tab w:val="left" w:pos="567"/>
        </w:tabs>
        <w:spacing w:before="0" w:after="0" w:line="240" w:lineRule="exact"/>
        <w:ind w:left="540"/>
        <w:jc w:val="left"/>
        <w:rPr>
          <w:rFonts w:asciiTheme="minorHAnsi" w:hAnsiTheme="minorHAnsi"/>
          <w:i/>
          <w:sz w:val="14"/>
          <w:szCs w:val="14"/>
        </w:rPr>
      </w:pPr>
      <w:r w:rsidRPr="00433C6B">
        <w:rPr>
          <w:rFonts w:asciiTheme="minorHAnsi" w:hAnsiTheme="minorHAnsi"/>
          <w:i/>
          <w:sz w:val="14"/>
          <w:szCs w:val="14"/>
        </w:rPr>
        <w:tab/>
      </w:r>
      <w:r w:rsidRPr="00433C6B">
        <w:rPr>
          <w:rFonts w:asciiTheme="minorHAnsi" w:hAnsiTheme="minorHAnsi"/>
          <w:i/>
          <w:sz w:val="14"/>
          <w:szCs w:val="14"/>
        </w:rPr>
        <w:tab/>
        <w:t xml:space="preserve">- pod warunkiem, że wniosek o wyjaśnienie treści SIWZ wpłynął do zamawiającego nie później niż do </w:t>
      </w:r>
      <w:proofErr w:type="gramStart"/>
      <w:r w:rsidRPr="00433C6B">
        <w:rPr>
          <w:rFonts w:asciiTheme="minorHAnsi" w:hAnsiTheme="minorHAnsi"/>
          <w:i/>
          <w:sz w:val="14"/>
          <w:szCs w:val="14"/>
        </w:rPr>
        <w:t>końca  dnia</w:t>
      </w:r>
      <w:proofErr w:type="gramEnd"/>
      <w:r w:rsidRPr="00433C6B">
        <w:rPr>
          <w:rFonts w:asciiTheme="minorHAnsi" w:hAnsiTheme="minorHAnsi"/>
          <w:i/>
          <w:sz w:val="14"/>
          <w:szCs w:val="14"/>
        </w:rPr>
        <w:t>, w którym upływa połowa wyznaczonego terminu składania ofert</w:t>
      </w:r>
    </w:p>
    <w:p w:rsidR="00433C6B" w:rsidRPr="00433C6B" w:rsidRDefault="00433C6B" w:rsidP="00433C6B">
      <w:pPr>
        <w:pStyle w:val="ust"/>
        <w:tabs>
          <w:tab w:val="left" w:pos="284"/>
          <w:tab w:val="left" w:pos="567"/>
        </w:tabs>
        <w:spacing w:before="0" w:after="0" w:line="240" w:lineRule="exact"/>
        <w:ind w:left="540" w:hanging="567"/>
        <w:jc w:val="left"/>
        <w:rPr>
          <w:rFonts w:asciiTheme="minorHAnsi" w:hAnsiTheme="minorHAnsi"/>
          <w:i/>
          <w:sz w:val="14"/>
          <w:szCs w:val="14"/>
        </w:rPr>
      </w:pPr>
      <w:r w:rsidRPr="00433C6B">
        <w:rPr>
          <w:rFonts w:asciiTheme="minorHAnsi" w:hAnsiTheme="minorHAnsi"/>
          <w:i/>
          <w:sz w:val="14"/>
          <w:szCs w:val="14"/>
        </w:rPr>
        <w:t>1a</w:t>
      </w:r>
      <w:r w:rsidRPr="00433C6B">
        <w:rPr>
          <w:rFonts w:asciiTheme="minorHAnsi" w:hAnsiTheme="minorHAnsi"/>
          <w:i/>
          <w:sz w:val="14"/>
          <w:szCs w:val="14"/>
        </w:rPr>
        <w:tab/>
      </w:r>
      <w:r w:rsidRPr="00433C6B">
        <w:rPr>
          <w:rFonts w:asciiTheme="minorHAnsi" w:hAnsiTheme="minorHAnsi"/>
          <w:i/>
          <w:sz w:val="14"/>
          <w:szCs w:val="14"/>
        </w:rPr>
        <w:tab/>
        <w:t>jeżeli wniosek o wyjaśnienie treści SIWZ wpłynął po upływie terminu składania wniosku, o którym mowa w ust.1, lub dotyczy udzielonych wyjaśnień, zamawiający może udzielić wyjaśnień albo pozostawić wniosek bez rozpoznania</w:t>
      </w:r>
    </w:p>
    <w:p w:rsidR="00433C6B" w:rsidRPr="00433C6B" w:rsidRDefault="00433C6B" w:rsidP="00433C6B">
      <w:pPr>
        <w:pStyle w:val="ust"/>
        <w:tabs>
          <w:tab w:val="left" w:pos="284"/>
          <w:tab w:val="left" w:pos="567"/>
        </w:tabs>
        <w:spacing w:before="0" w:after="0" w:line="240" w:lineRule="exact"/>
        <w:ind w:left="540" w:hanging="567"/>
        <w:jc w:val="left"/>
        <w:rPr>
          <w:rFonts w:asciiTheme="minorHAnsi" w:hAnsiTheme="minorHAnsi"/>
          <w:i/>
          <w:sz w:val="14"/>
          <w:szCs w:val="14"/>
        </w:rPr>
      </w:pPr>
      <w:r w:rsidRPr="00433C6B">
        <w:rPr>
          <w:rFonts w:asciiTheme="minorHAnsi" w:hAnsiTheme="minorHAnsi"/>
          <w:i/>
          <w:sz w:val="14"/>
          <w:szCs w:val="14"/>
        </w:rPr>
        <w:t xml:space="preserve">1 </w:t>
      </w:r>
      <w:proofErr w:type="gramStart"/>
      <w:r w:rsidRPr="00433C6B">
        <w:rPr>
          <w:rFonts w:asciiTheme="minorHAnsi" w:hAnsiTheme="minorHAnsi"/>
          <w:i/>
          <w:sz w:val="14"/>
          <w:szCs w:val="14"/>
        </w:rPr>
        <w:t xml:space="preserve">b </w:t>
      </w:r>
      <w:r w:rsidRPr="00433C6B">
        <w:rPr>
          <w:rFonts w:asciiTheme="minorHAnsi" w:hAnsiTheme="minorHAnsi"/>
          <w:i/>
          <w:sz w:val="14"/>
          <w:szCs w:val="14"/>
        </w:rPr>
        <w:tab/>
        <w:t xml:space="preserve">     Przedłużenie</w:t>
      </w:r>
      <w:proofErr w:type="gramEnd"/>
      <w:r w:rsidRPr="00433C6B">
        <w:rPr>
          <w:rFonts w:asciiTheme="minorHAnsi" w:hAnsiTheme="minorHAnsi"/>
          <w:i/>
          <w:sz w:val="14"/>
          <w:szCs w:val="14"/>
        </w:rPr>
        <w:t xml:space="preserve"> terminu składania ofert nie wpływa na bieg terminu składania wniosku, o którym  mowa w ust.1 </w:t>
      </w:r>
    </w:p>
    <w:p w:rsidR="00433C6B" w:rsidRPr="00433C6B" w:rsidRDefault="00433C6B" w:rsidP="00433C6B">
      <w:pPr>
        <w:pStyle w:val="ust"/>
        <w:tabs>
          <w:tab w:val="left" w:pos="284"/>
          <w:tab w:val="left" w:pos="567"/>
        </w:tabs>
        <w:spacing w:before="0" w:after="0" w:line="240" w:lineRule="exact"/>
        <w:ind w:left="540" w:hanging="567"/>
        <w:jc w:val="left"/>
        <w:rPr>
          <w:rFonts w:asciiTheme="minorHAnsi" w:hAnsiTheme="minorHAnsi"/>
          <w:i/>
          <w:sz w:val="14"/>
          <w:szCs w:val="14"/>
        </w:rPr>
      </w:pPr>
      <w:r w:rsidRPr="00433C6B">
        <w:rPr>
          <w:rFonts w:asciiTheme="minorHAnsi" w:hAnsiTheme="minorHAnsi"/>
          <w:i/>
          <w:sz w:val="14"/>
          <w:szCs w:val="14"/>
        </w:rPr>
        <w:t>2.</w:t>
      </w:r>
      <w:r w:rsidRPr="00433C6B">
        <w:rPr>
          <w:rFonts w:asciiTheme="minorHAnsi" w:hAnsiTheme="minorHAnsi"/>
          <w:i/>
          <w:sz w:val="14"/>
          <w:szCs w:val="14"/>
        </w:rPr>
        <w:tab/>
      </w:r>
      <w:r w:rsidRPr="00433C6B">
        <w:rPr>
          <w:rFonts w:asciiTheme="minorHAnsi" w:hAnsiTheme="minorHAnsi"/>
          <w:i/>
          <w:sz w:val="14"/>
          <w:szCs w:val="14"/>
        </w:rPr>
        <w:tab/>
        <w:t>Treść zapytań wraz z wyjaśnieniami zamawiający przekazuje wykonawcom, którym przekazał specyfikację istotnych warunków zamówienia, bez ujawniania źródła zapytania, a jeżeli i specyfikacja jest udostępniana na stronie internetowej zamieszcza na tej stronie.</w:t>
      </w:r>
    </w:p>
    <w:p w:rsidR="00433C6B" w:rsidRPr="00433C6B" w:rsidRDefault="00433C6B" w:rsidP="00433C6B">
      <w:pPr>
        <w:pStyle w:val="ust"/>
        <w:tabs>
          <w:tab w:val="left" w:pos="284"/>
          <w:tab w:val="left" w:pos="567"/>
        </w:tabs>
        <w:spacing w:before="0" w:after="0"/>
        <w:ind w:left="540" w:hanging="567"/>
        <w:jc w:val="left"/>
        <w:rPr>
          <w:rFonts w:asciiTheme="minorHAnsi" w:hAnsiTheme="minorHAnsi"/>
          <w:i/>
          <w:sz w:val="14"/>
          <w:szCs w:val="14"/>
        </w:rPr>
      </w:pPr>
      <w:r w:rsidRPr="00433C6B">
        <w:rPr>
          <w:rFonts w:asciiTheme="minorHAnsi" w:hAnsiTheme="minorHAnsi"/>
          <w:i/>
          <w:sz w:val="14"/>
          <w:szCs w:val="14"/>
        </w:rPr>
        <w:t xml:space="preserve">4. </w:t>
      </w:r>
      <w:r w:rsidRPr="00433C6B">
        <w:rPr>
          <w:rFonts w:asciiTheme="minorHAnsi" w:hAnsiTheme="minorHAnsi"/>
          <w:i/>
          <w:sz w:val="14"/>
          <w:szCs w:val="14"/>
        </w:rPr>
        <w:tab/>
      </w:r>
      <w:r w:rsidRPr="00433C6B">
        <w:rPr>
          <w:rFonts w:asciiTheme="minorHAnsi" w:hAnsiTheme="minorHAnsi"/>
          <w:i/>
          <w:sz w:val="14"/>
          <w:szCs w:val="14"/>
        </w:rPr>
        <w:tab/>
        <w:t xml:space="preserve">W uzasadnionych przypadkach zamawiający może przed upływem terminu składania ofert </w:t>
      </w:r>
      <w:proofErr w:type="gramStart"/>
      <w:r w:rsidRPr="00433C6B">
        <w:rPr>
          <w:rFonts w:asciiTheme="minorHAnsi" w:hAnsiTheme="minorHAnsi"/>
          <w:i/>
          <w:sz w:val="14"/>
          <w:szCs w:val="14"/>
        </w:rPr>
        <w:t>zmienić  treść</w:t>
      </w:r>
      <w:proofErr w:type="gramEnd"/>
      <w:r w:rsidRPr="00433C6B">
        <w:rPr>
          <w:rFonts w:asciiTheme="minorHAnsi" w:hAnsiTheme="minorHAnsi"/>
          <w:i/>
          <w:sz w:val="14"/>
          <w:szCs w:val="14"/>
        </w:rPr>
        <w:t xml:space="preserve"> specyfikacji istotnych warunków zamówienia. Dokonaną zmianę specyfikacji zamawiający przekazuje niezwłocznie wszystkim wykonawcom, którym przekazano specyfikację istotnych warunków zamówienia, jeżeli specyfikacja jest udostępniona na stronie internetowej, zamieszcza ją także na tej stronie.</w:t>
      </w:r>
    </w:p>
    <w:p w:rsidR="00971C71" w:rsidRDefault="00971C71" w:rsidP="00146FE5">
      <w:pPr>
        <w:spacing w:after="0" w:line="240" w:lineRule="auto"/>
        <w:rPr>
          <w:sz w:val="24"/>
          <w:szCs w:val="24"/>
        </w:rPr>
      </w:pPr>
    </w:p>
    <w:p w:rsidR="00433C6B" w:rsidRPr="007C04FD" w:rsidRDefault="007C04FD" w:rsidP="00146FE5">
      <w:pPr>
        <w:spacing w:after="0" w:line="240" w:lineRule="auto"/>
        <w:rPr>
          <w:rFonts w:cs="Calibri"/>
        </w:rPr>
      </w:pPr>
      <w:r w:rsidRPr="007C04FD">
        <w:rPr>
          <w:rFonts w:cs="Calibri"/>
        </w:rPr>
        <w:t>Zamawiający informuje, że:</w:t>
      </w:r>
    </w:p>
    <w:p w:rsidR="007C04FD" w:rsidRDefault="007C04FD" w:rsidP="00146FE5">
      <w:pPr>
        <w:spacing w:after="0" w:line="240" w:lineRule="auto"/>
        <w:rPr>
          <w:rFonts w:cs="Calibri"/>
          <w:sz w:val="24"/>
          <w:szCs w:val="24"/>
        </w:rPr>
      </w:pPr>
    </w:p>
    <w:p w:rsidR="007C04FD" w:rsidRPr="007C04FD" w:rsidRDefault="007C04FD" w:rsidP="007C04FD">
      <w:pPr>
        <w:numPr>
          <w:ilvl w:val="0"/>
          <w:numId w:val="11"/>
        </w:numPr>
        <w:overflowPunct w:val="0"/>
        <w:autoSpaceDE w:val="0"/>
        <w:autoSpaceDN w:val="0"/>
        <w:adjustRightInd w:val="0"/>
        <w:spacing w:after="0" w:line="360" w:lineRule="auto"/>
        <w:jc w:val="both"/>
        <w:rPr>
          <w:rFonts w:asciiTheme="minorHAnsi" w:hAnsiTheme="minorHAnsi"/>
          <w:b/>
        </w:rPr>
      </w:pPr>
      <w:r w:rsidRPr="007C04FD">
        <w:rPr>
          <w:rFonts w:asciiTheme="minorHAnsi" w:hAnsiTheme="minorHAnsi"/>
          <w:b/>
        </w:rPr>
        <w:t xml:space="preserve">przedłuża termin składania ofert </w:t>
      </w:r>
      <w:r w:rsidR="00814504">
        <w:rPr>
          <w:rFonts w:asciiTheme="minorHAnsi" w:hAnsiTheme="minorHAnsi"/>
          <w:b/>
        </w:rPr>
        <w:t>tj. do dnia 2019-12-04</w:t>
      </w:r>
      <w:r w:rsidRPr="007C04FD">
        <w:rPr>
          <w:rFonts w:asciiTheme="minorHAnsi" w:hAnsiTheme="minorHAnsi"/>
          <w:b/>
        </w:rPr>
        <w:t>, godz</w:t>
      </w:r>
      <w:proofErr w:type="gramStart"/>
      <w:r w:rsidRPr="007C04FD">
        <w:rPr>
          <w:rFonts w:asciiTheme="minorHAnsi" w:hAnsiTheme="minorHAnsi"/>
          <w:b/>
        </w:rPr>
        <w:t>. 10:00. T</w:t>
      </w:r>
      <w:r w:rsidR="00814504">
        <w:rPr>
          <w:rFonts w:asciiTheme="minorHAnsi" w:hAnsiTheme="minorHAnsi"/>
          <w:b/>
        </w:rPr>
        <w:t>ermin</w:t>
      </w:r>
      <w:proofErr w:type="gramEnd"/>
      <w:r w:rsidR="00814504">
        <w:rPr>
          <w:rFonts w:asciiTheme="minorHAnsi" w:hAnsiTheme="minorHAnsi"/>
          <w:b/>
        </w:rPr>
        <w:t xml:space="preserve"> otwarcia ofert: 2019-12-04</w:t>
      </w:r>
      <w:r w:rsidRPr="007C04FD">
        <w:rPr>
          <w:rFonts w:asciiTheme="minorHAnsi" w:hAnsiTheme="minorHAnsi"/>
          <w:b/>
        </w:rPr>
        <w:t>, godz. 10:30,</w:t>
      </w:r>
    </w:p>
    <w:p w:rsidR="007C04FD" w:rsidRPr="007C04FD" w:rsidRDefault="007C04FD" w:rsidP="007C04FD">
      <w:pPr>
        <w:numPr>
          <w:ilvl w:val="0"/>
          <w:numId w:val="11"/>
        </w:numPr>
        <w:overflowPunct w:val="0"/>
        <w:autoSpaceDE w:val="0"/>
        <w:autoSpaceDN w:val="0"/>
        <w:adjustRightInd w:val="0"/>
        <w:spacing w:after="0" w:line="360" w:lineRule="auto"/>
        <w:jc w:val="both"/>
        <w:rPr>
          <w:rFonts w:asciiTheme="minorHAnsi" w:hAnsiTheme="minorHAnsi"/>
        </w:rPr>
      </w:pPr>
      <w:proofErr w:type="gramStart"/>
      <w:r w:rsidRPr="007C04FD">
        <w:rPr>
          <w:rFonts w:asciiTheme="minorHAnsi" w:hAnsiTheme="minorHAnsi"/>
        </w:rPr>
        <w:t>modyfikuje</w:t>
      </w:r>
      <w:proofErr w:type="gramEnd"/>
      <w:r w:rsidRPr="007C04FD">
        <w:rPr>
          <w:rFonts w:asciiTheme="minorHAnsi" w:hAnsiTheme="minorHAnsi"/>
        </w:rPr>
        <w:t xml:space="preserve"> zapis w części X punkt 3b SIWZ „Opakowanie oferty”, który otrzymuje następujące brzmienie:</w:t>
      </w:r>
    </w:p>
    <w:p w:rsidR="007C04FD" w:rsidRPr="007C04FD" w:rsidRDefault="007C04FD" w:rsidP="007C04FD">
      <w:pPr>
        <w:overflowPunct w:val="0"/>
        <w:autoSpaceDE w:val="0"/>
        <w:autoSpaceDN w:val="0"/>
        <w:adjustRightInd w:val="0"/>
        <w:spacing w:after="0" w:line="360" w:lineRule="auto"/>
        <w:ind w:left="340"/>
        <w:jc w:val="both"/>
        <w:rPr>
          <w:rFonts w:asciiTheme="minorHAnsi" w:hAnsiTheme="minorHAnsi"/>
        </w:rPr>
      </w:pPr>
      <w:proofErr w:type="gramStart"/>
      <w:r w:rsidRPr="007C04FD">
        <w:rPr>
          <w:rFonts w:asciiTheme="minorHAnsi" w:hAnsiTheme="minorHAnsi"/>
        </w:rPr>
        <w:t>opakowanie</w:t>
      </w:r>
      <w:proofErr w:type="gramEnd"/>
      <w:r w:rsidRPr="007C04FD">
        <w:rPr>
          <w:rFonts w:asciiTheme="minorHAnsi" w:hAnsiTheme="minorHAnsi"/>
        </w:rPr>
        <w:t xml:space="preserve"> (koperta) powinno być oznaczone </w:t>
      </w:r>
      <w:r w:rsidRPr="007C04FD">
        <w:rPr>
          <w:rFonts w:asciiTheme="minorHAnsi" w:hAnsiTheme="minorHAnsi"/>
          <w:bCs/>
        </w:rPr>
        <w:t>nazwą wykonawcy</w:t>
      </w:r>
      <w:r w:rsidRPr="007C04FD">
        <w:rPr>
          <w:rFonts w:asciiTheme="minorHAnsi" w:hAnsiTheme="minorHAnsi"/>
        </w:rPr>
        <w:t xml:space="preserve"> lub jego imieniem i nazwiskiem </w:t>
      </w:r>
      <w:r w:rsidRPr="007C04FD">
        <w:rPr>
          <w:rFonts w:asciiTheme="minorHAnsi" w:hAnsiTheme="minorHAnsi"/>
          <w:bCs/>
        </w:rPr>
        <w:t>oraz dokładnym jego adresem</w:t>
      </w:r>
      <w:r w:rsidRPr="007C04FD">
        <w:rPr>
          <w:rFonts w:asciiTheme="minorHAnsi" w:hAnsiTheme="minorHAnsi"/>
        </w:rPr>
        <w:t xml:space="preserve"> i opisane w następujący sposób: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7C04FD" w:rsidRPr="0009105C" w:rsidTr="00396069">
        <w:trPr>
          <w:trHeight w:val="2316"/>
        </w:trPr>
        <w:tc>
          <w:tcPr>
            <w:tcW w:w="8669" w:type="dxa"/>
            <w:tcBorders>
              <w:top w:val="single" w:sz="4" w:space="0" w:color="auto"/>
              <w:left w:val="single" w:sz="4" w:space="0" w:color="auto"/>
              <w:bottom w:val="single" w:sz="4" w:space="0" w:color="auto"/>
              <w:right w:val="single" w:sz="4" w:space="0" w:color="auto"/>
            </w:tcBorders>
          </w:tcPr>
          <w:p w:rsidR="007C04FD" w:rsidRPr="0009105C" w:rsidRDefault="007C04FD" w:rsidP="007C04FD">
            <w:pPr>
              <w:pStyle w:val="Akapitzlist"/>
              <w:autoSpaceDE w:val="0"/>
              <w:autoSpaceDN w:val="0"/>
              <w:adjustRightInd w:val="0"/>
              <w:spacing w:before="0" w:beforeAutospacing="0" w:after="0" w:afterAutospacing="0" w:line="276" w:lineRule="auto"/>
              <w:jc w:val="center"/>
              <w:rPr>
                <w:b/>
                <w:bCs/>
              </w:rPr>
            </w:pPr>
            <w:r w:rsidRPr="0009105C">
              <w:rPr>
                <w:b/>
                <w:bCs/>
              </w:rPr>
              <w:t>Wojewódzki Szpital Specjalistyczny im. Św. Rafała w Czerwonej Górze</w:t>
            </w:r>
          </w:p>
          <w:p w:rsidR="007C04FD" w:rsidRPr="0009105C" w:rsidRDefault="007C04FD" w:rsidP="007C04FD">
            <w:pPr>
              <w:tabs>
                <w:tab w:val="left" w:pos="7410"/>
              </w:tabs>
              <w:spacing w:after="0"/>
              <w:jc w:val="center"/>
              <w:rPr>
                <w:rFonts w:ascii="Times New Roman" w:hAnsi="Times New Roman"/>
                <w:b/>
                <w:shd w:val="clear" w:color="auto" w:fill="FFFFFF"/>
                <w:lang w:eastAsia="pl-PL"/>
              </w:rPr>
            </w:pPr>
            <w:r w:rsidRPr="0009105C">
              <w:rPr>
                <w:rFonts w:ascii="Times New Roman" w:hAnsi="Times New Roman"/>
                <w:b/>
                <w:shd w:val="clear" w:color="auto" w:fill="FFFFFF"/>
                <w:lang w:eastAsia="pl-PL"/>
              </w:rPr>
              <w:t>26-060 Chęciny, ul. Czerwona Góra 10</w:t>
            </w:r>
          </w:p>
          <w:p w:rsidR="007C04FD" w:rsidRPr="0009105C" w:rsidRDefault="007C04FD" w:rsidP="007C04FD">
            <w:pPr>
              <w:tabs>
                <w:tab w:val="left" w:pos="7410"/>
              </w:tabs>
              <w:spacing w:after="0"/>
              <w:jc w:val="center"/>
              <w:rPr>
                <w:rFonts w:ascii="Times New Roman" w:hAnsi="Times New Roman"/>
                <w:b/>
                <w:bCs/>
                <w:i/>
              </w:rPr>
            </w:pPr>
            <w:r w:rsidRPr="0009105C">
              <w:rPr>
                <w:rFonts w:ascii="Times New Roman" w:hAnsi="Times New Roman"/>
                <w:b/>
                <w:bCs/>
                <w:i/>
                <w:iCs/>
              </w:rPr>
              <w:t xml:space="preserve">OFERTA na </w:t>
            </w:r>
            <w:r w:rsidRPr="0009105C">
              <w:rPr>
                <w:rFonts w:ascii="Times New Roman" w:hAnsi="Times New Roman"/>
                <w:b/>
                <w:bCs/>
                <w:i/>
              </w:rPr>
              <w:t>modernizację pomieszczeń serwerowni Wojewódzkiego Szpitala Specjalistycznego im. Św. Rafała w Czerwonej Górze</w:t>
            </w:r>
          </w:p>
          <w:p w:rsidR="007C04FD" w:rsidRPr="0009105C" w:rsidRDefault="007C04FD" w:rsidP="007C04FD">
            <w:pPr>
              <w:tabs>
                <w:tab w:val="left" w:pos="7410"/>
              </w:tabs>
              <w:spacing w:after="0"/>
              <w:jc w:val="center"/>
              <w:rPr>
                <w:rFonts w:ascii="Times New Roman" w:hAnsi="Times New Roman"/>
                <w:b/>
                <w:i/>
              </w:rPr>
            </w:pPr>
            <w:proofErr w:type="gramStart"/>
            <w:r w:rsidRPr="0009105C">
              <w:rPr>
                <w:rFonts w:ascii="Times New Roman" w:hAnsi="Times New Roman"/>
                <w:b/>
                <w:bCs/>
                <w:i/>
              </w:rPr>
              <w:t>w</w:t>
            </w:r>
            <w:proofErr w:type="gramEnd"/>
            <w:r w:rsidRPr="0009105C">
              <w:rPr>
                <w:rFonts w:ascii="Times New Roman" w:hAnsi="Times New Roman"/>
                <w:b/>
                <w:bCs/>
                <w:i/>
              </w:rPr>
              <w:t xml:space="preserve"> formule „zaprojektuj i wybuduj”</w:t>
            </w:r>
          </w:p>
          <w:p w:rsidR="007C04FD" w:rsidRPr="0009105C" w:rsidRDefault="007C04FD" w:rsidP="007C04FD">
            <w:pPr>
              <w:pStyle w:val="Akapitzlist"/>
              <w:autoSpaceDE w:val="0"/>
              <w:autoSpaceDN w:val="0"/>
              <w:adjustRightInd w:val="0"/>
              <w:spacing w:before="0" w:beforeAutospacing="0" w:after="0" w:afterAutospacing="0" w:line="276" w:lineRule="auto"/>
              <w:jc w:val="center"/>
              <w:rPr>
                <w:b/>
                <w:i/>
              </w:rPr>
            </w:pPr>
            <w:r w:rsidRPr="0009105C">
              <w:rPr>
                <w:b/>
                <w:i/>
              </w:rPr>
              <w:t>Znak sprawy: ZP-1556-2019</w:t>
            </w:r>
          </w:p>
          <w:p w:rsidR="007C04FD" w:rsidRPr="0009105C" w:rsidRDefault="007C04FD" w:rsidP="007C04FD">
            <w:pPr>
              <w:pStyle w:val="Akapitzlist"/>
              <w:keepNext/>
              <w:spacing w:before="0" w:beforeAutospacing="0" w:after="0" w:afterAutospacing="0" w:line="276" w:lineRule="auto"/>
              <w:ind w:right="34"/>
              <w:jc w:val="center"/>
              <w:outlineLvl w:val="3"/>
              <w:rPr>
                <w:b/>
                <w:bCs/>
              </w:rPr>
            </w:pPr>
            <w:r w:rsidRPr="0009105C">
              <w:rPr>
                <w:b/>
                <w:bCs/>
              </w:rPr>
              <w:t>OTWIERA KOMISJA PRZETARGOWA</w:t>
            </w:r>
          </w:p>
          <w:p w:rsidR="007C04FD" w:rsidRPr="0009105C" w:rsidRDefault="00814504" w:rsidP="007C04FD">
            <w:pPr>
              <w:pStyle w:val="Akapitzlist"/>
              <w:keepNext/>
              <w:spacing w:before="0" w:beforeAutospacing="0" w:after="0" w:afterAutospacing="0" w:line="276" w:lineRule="auto"/>
              <w:ind w:right="34"/>
              <w:jc w:val="center"/>
              <w:outlineLvl w:val="3"/>
              <w:rPr>
                <w:b/>
                <w:bCs/>
                <w:color w:val="0070C0"/>
                <w:u w:val="single"/>
                <w:vertAlign w:val="superscript"/>
              </w:rPr>
            </w:pPr>
            <w:proofErr w:type="gramStart"/>
            <w:r>
              <w:rPr>
                <w:b/>
                <w:bCs/>
              </w:rPr>
              <w:t>w</w:t>
            </w:r>
            <w:proofErr w:type="gramEnd"/>
            <w:r>
              <w:rPr>
                <w:b/>
                <w:bCs/>
              </w:rPr>
              <w:t xml:space="preserve"> dniu 04</w:t>
            </w:r>
            <w:r w:rsidR="007C04FD">
              <w:rPr>
                <w:b/>
                <w:bCs/>
              </w:rPr>
              <w:t>-12</w:t>
            </w:r>
            <w:r w:rsidR="007C04FD" w:rsidRPr="0009105C">
              <w:rPr>
                <w:b/>
                <w:bCs/>
              </w:rPr>
              <w:t>-2019 roku, godz. 10:30</w:t>
            </w:r>
          </w:p>
        </w:tc>
      </w:tr>
    </w:tbl>
    <w:p w:rsidR="007C04FD" w:rsidRDefault="007C04FD" w:rsidP="007C04FD">
      <w:pPr>
        <w:jc w:val="both"/>
        <w:rPr>
          <w:rFonts w:ascii="Times New Roman" w:hAnsi="Times New Roman"/>
          <w:sz w:val="20"/>
          <w:szCs w:val="20"/>
          <w:u w:val="single"/>
        </w:rPr>
      </w:pPr>
    </w:p>
    <w:p w:rsidR="007C04FD" w:rsidRPr="007C04FD" w:rsidRDefault="007C04FD" w:rsidP="007C04FD">
      <w:pPr>
        <w:numPr>
          <w:ilvl w:val="0"/>
          <w:numId w:val="11"/>
        </w:numPr>
        <w:overflowPunct w:val="0"/>
        <w:autoSpaceDE w:val="0"/>
        <w:autoSpaceDN w:val="0"/>
        <w:adjustRightInd w:val="0"/>
        <w:spacing w:after="0" w:line="360" w:lineRule="auto"/>
        <w:jc w:val="both"/>
        <w:rPr>
          <w:rFonts w:asciiTheme="minorHAnsi" w:hAnsiTheme="minorHAnsi"/>
        </w:rPr>
      </w:pPr>
      <w:proofErr w:type="gramStart"/>
      <w:r w:rsidRPr="007C04FD">
        <w:rPr>
          <w:rFonts w:asciiTheme="minorHAnsi" w:hAnsiTheme="minorHAnsi"/>
        </w:rPr>
        <w:t>modyfikuje</w:t>
      </w:r>
      <w:proofErr w:type="gramEnd"/>
      <w:r w:rsidRPr="007C04FD">
        <w:rPr>
          <w:rFonts w:asciiTheme="minorHAnsi" w:hAnsiTheme="minorHAnsi"/>
        </w:rPr>
        <w:t xml:space="preserve"> zapis w części XI punkt 2 i 4 SIWZ „Miejsce oraz termin składania i otwarcia ofert”, który otrzymuje następujące brzmienie:</w:t>
      </w:r>
    </w:p>
    <w:p w:rsidR="007C04FD" w:rsidRPr="007C04FD" w:rsidRDefault="007C04FD" w:rsidP="007C04FD">
      <w:pPr>
        <w:spacing w:before="120" w:after="0"/>
        <w:ind w:right="34"/>
        <w:jc w:val="both"/>
        <w:rPr>
          <w:rFonts w:asciiTheme="minorHAnsi" w:hAnsiTheme="minorHAnsi"/>
          <w:b/>
          <w:bCs/>
        </w:rPr>
      </w:pPr>
      <w:r w:rsidRPr="007C04FD">
        <w:rPr>
          <w:rFonts w:asciiTheme="minorHAnsi" w:hAnsiTheme="minorHAnsi"/>
        </w:rPr>
        <w:t xml:space="preserve">     2. Termin składania ofert upływa </w:t>
      </w:r>
      <w:r w:rsidRPr="007C04FD">
        <w:rPr>
          <w:rFonts w:asciiTheme="minorHAnsi" w:hAnsiTheme="minorHAnsi"/>
          <w:b/>
          <w:bCs/>
        </w:rPr>
        <w:t xml:space="preserve">w dniu </w:t>
      </w:r>
      <w:r w:rsidR="00814504">
        <w:rPr>
          <w:rFonts w:asciiTheme="minorHAnsi" w:hAnsiTheme="minorHAnsi"/>
          <w:b/>
          <w:bCs/>
        </w:rPr>
        <w:t>04</w:t>
      </w:r>
      <w:r>
        <w:rPr>
          <w:rFonts w:asciiTheme="minorHAnsi" w:hAnsiTheme="minorHAnsi"/>
          <w:b/>
          <w:bCs/>
        </w:rPr>
        <w:t>-12</w:t>
      </w:r>
      <w:r w:rsidRPr="007C04FD">
        <w:rPr>
          <w:rFonts w:asciiTheme="minorHAnsi" w:hAnsiTheme="minorHAnsi"/>
          <w:b/>
          <w:bCs/>
        </w:rPr>
        <w:t>-2019 roku, o godz. 10:00.</w:t>
      </w:r>
    </w:p>
    <w:p w:rsidR="007C04FD" w:rsidRPr="007C04FD" w:rsidRDefault="007C04FD" w:rsidP="007C04FD">
      <w:pPr>
        <w:spacing w:before="120" w:after="0"/>
        <w:ind w:right="34"/>
        <w:jc w:val="both"/>
        <w:rPr>
          <w:rFonts w:asciiTheme="minorHAnsi" w:hAnsiTheme="minorHAnsi"/>
          <w:bCs/>
        </w:rPr>
      </w:pPr>
      <w:r w:rsidRPr="007C04FD">
        <w:rPr>
          <w:rFonts w:asciiTheme="minorHAnsi" w:hAnsiTheme="minorHAnsi"/>
        </w:rPr>
        <w:lastRenderedPageBreak/>
        <w:t xml:space="preserve">     4. Otwarcie ofert nastąpi </w:t>
      </w:r>
      <w:r w:rsidRPr="007C04FD">
        <w:rPr>
          <w:rFonts w:asciiTheme="minorHAnsi" w:hAnsiTheme="minorHAnsi"/>
          <w:b/>
          <w:bCs/>
        </w:rPr>
        <w:t xml:space="preserve">w dniu </w:t>
      </w:r>
      <w:r w:rsidR="00814504">
        <w:rPr>
          <w:rFonts w:asciiTheme="minorHAnsi" w:hAnsiTheme="minorHAnsi"/>
          <w:b/>
          <w:bCs/>
        </w:rPr>
        <w:t>04</w:t>
      </w:r>
      <w:r>
        <w:rPr>
          <w:rFonts w:asciiTheme="minorHAnsi" w:hAnsiTheme="minorHAnsi"/>
          <w:b/>
          <w:bCs/>
        </w:rPr>
        <w:t>-12</w:t>
      </w:r>
      <w:r w:rsidRPr="007C04FD">
        <w:rPr>
          <w:rFonts w:asciiTheme="minorHAnsi" w:hAnsiTheme="minorHAnsi"/>
          <w:b/>
          <w:bCs/>
        </w:rPr>
        <w:t>-2019 roku o godz. 10:30</w:t>
      </w:r>
      <w:r w:rsidRPr="007C04FD">
        <w:rPr>
          <w:rFonts w:asciiTheme="minorHAnsi" w:hAnsiTheme="minorHAnsi"/>
          <w:b/>
          <w:bCs/>
          <w:vertAlign w:val="superscript"/>
        </w:rPr>
        <w:t xml:space="preserve"> </w:t>
      </w:r>
      <w:r w:rsidRPr="007C04FD">
        <w:rPr>
          <w:rFonts w:asciiTheme="minorHAnsi" w:hAnsiTheme="minorHAnsi"/>
        </w:rPr>
        <w:t xml:space="preserve">w siedzibie zamawiającego </w:t>
      </w:r>
      <w:proofErr w:type="gramStart"/>
      <w:r w:rsidRPr="007C04FD">
        <w:rPr>
          <w:rFonts w:asciiTheme="minorHAnsi" w:hAnsiTheme="minorHAnsi"/>
        </w:rPr>
        <w:t>w</w:t>
      </w:r>
      <w:r w:rsidRPr="007C04FD">
        <w:rPr>
          <w:rFonts w:asciiTheme="minorHAnsi" w:hAnsiTheme="minorHAnsi"/>
        </w:rPr>
        <w:br/>
        <w:t xml:space="preserve">         </w:t>
      </w:r>
      <w:r w:rsidRPr="007C04FD">
        <w:rPr>
          <w:rFonts w:asciiTheme="minorHAnsi" w:hAnsiTheme="minorHAnsi"/>
          <w:b/>
        </w:rPr>
        <w:t>Sekcji</w:t>
      </w:r>
      <w:proofErr w:type="gramEnd"/>
      <w:r w:rsidRPr="007C04FD">
        <w:rPr>
          <w:rFonts w:asciiTheme="minorHAnsi" w:hAnsiTheme="minorHAnsi"/>
          <w:b/>
        </w:rPr>
        <w:t xml:space="preserve"> Zamówień Publicznych</w:t>
      </w:r>
      <w:r w:rsidRPr="007C04FD">
        <w:rPr>
          <w:rFonts w:asciiTheme="minorHAnsi" w:hAnsiTheme="minorHAnsi"/>
        </w:rPr>
        <w:t>.</w:t>
      </w:r>
    </w:p>
    <w:p w:rsidR="007C04FD" w:rsidRPr="00146FE5" w:rsidRDefault="007C04FD" w:rsidP="00146FE5">
      <w:pPr>
        <w:spacing w:after="0" w:line="240" w:lineRule="auto"/>
        <w:rPr>
          <w:rFonts w:cs="Calibri"/>
          <w:sz w:val="24"/>
          <w:szCs w:val="24"/>
        </w:rPr>
      </w:pPr>
    </w:p>
    <w:p w:rsidR="00275209" w:rsidRDefault="001F4479" w:rsidP="00275209">
      <w:pPr>
        <w:spacing w:after="0"/>
        <w:jc w:val="both"/>
        <w:rPr>
          <w:rFonts w:asciiTheme="minorHAnsi" w:hAnsiTheme="minorHAnsi" w:cs="Calibri"/>
          <w:b/>
          <w:bCs/>
        </w:rPr>
      </w:pPr>
      <w:r>
        <w:rPr>
          <w:rFonts w:asciiTheme="minorHAnsi" w:hAnsiTheme="minorHAnsi" w:cs="Calibri"/>
          <w:b/>
          <w:bCs/>
        </w:rPr>
        <w:t xml:space="preserve">Pytanie nr </w:t>
      </w:r>
      <w:r w:rsidR="00971C71" w:rsidRPr="00433C6B">
        <w:rPr>
          <w:rFonts w:asciiTheme="minorHAnsi" w:hAnsiTheme="minorHAnsi" w:cs="Calibri"/>
          <w:b/>
          <w:bCs/>
        </w:rPr>
        <w:t>1</w:t>
      </w:r>
    </w:p>
    <w:p w:rsidR="00014DED" w:rsidRPr="00275209" w:rsidRDefault="00014DED" w:rsidP="00275209">
      <w:pPr>
        <w:spacing w:after="0"/>
        <w:jc w:val="both"/>
        <w:rPr>
          <w:rFonts w:asciiTheme="minorHAnsi" w:hAnsiTheme="minorHAnsi" w:cs="Calibri"/>
          <w:b/>
          <w:bCs/>
        </w:rPr>
      </w:pPr>
      <w:r w:rsidRPr="00014DED">
        <w:rPr>
          <w:rFonts w:asciiTheme="minorHAnsi" w:hAnsiTheme="minorHAnsi" w:cs="Arial"/>
        </w:rPr>
        <w:t>W nawiązaniu do „OGŁOSZENIE O ZAMÓWIENIU - Roboty budowlane nr ZP-1556-2019” przesyłamy zapytanie:</w:t>
      </w:r>
    </w:p>
    <w:p w:rsidR="00275209" w:rsidRDefault="00275209" w:rsidP="00275209">
      <w:pPr>
        <w:autoSpaceDE w:val="0"/>
        <w:autoSpaceDN w:val="0"/>
        <w:adjustRightInd w:val="0"/>
        <w:spacing w:after="0"/>
        <w:rPr>
          <w:rFonts w:asciiTheme="minorHAnsi" w:hAnsiTheme="minorHAnsi" w:cs="Arial"/>
        </w:rPr>
      </w:pPr>
      <w:proofErr w:type="gramStart"/>
      <w:r>
        <w:rPr>
          <w:rFonts w:asciiTheme="minorHAnsi" w:hAnsiTheme="minorHAnsi" w:cs="Arial"/>
        </w:rPr>
        <w:t>w</w:t>
      </w:r>
      <w:proofErr w:type="gramEnd"/>
      <w:r>
        <w:rPr>
          <w:rFonts w:asciiTheme="minorHAnsi" w:hAnsiTheme="minorHAnsi" w:cs="Arial"/>
        </w:rPr>
        <w:t xml:space="preserve"> opisie technicznym mamy zapis</w:t>
      </w:r>
    </w:p>
    <w:p w:rsidR="00275209" w:rsidRDefault="00014DED" w:rsidP="00275209">
      <w:pPr>
        <w:autoSpaceDE w:val="0"/>
        <w:autoSpaceDN w:val="0"/>
        <w:adjustRightInd w:val="0"/>
        <w:spacing w:after="0"/>
        <w:rPr>
          <w:rFonts w:asciiTheme="minorHAnsi" w:hAnsiTheme="minorHAnsi" w:cs="Arial"/>
        </w:rPr>
      </w:pPr>
      <w:r w:rsidRPr="00014DED">
        <w:rPr>
          <w:rFonts w:asciiTheme="minorHAnsi" w:hAnsiTheme="minorHAnsi" w:cs="Arial"/>
        </w:rPr>
        <w:t>Punkt dostępowy musi posiadać 2 dwu zakresowe wbudowane anteny do pracy w trybie 2x</w:t>
      </w:r>
      <w:proofErr w:type="gramStart"/>
      <w:r w:rsidRPr="00014DED">
        <w:rPr>
          <w:rFonts w:asciiTheme="minorHAnsi" w:hAnsiTheme="minorHAnsi" w:cs="Arial"/>
        </w:rPr>
        <w:t>2:2 MU-MIMO</w:t>
      </w:r>
      <w:proofErr w:type="gramEnd"/>
      <w:r w:rsidRPr="00014DED">
        <w:rPr>
          <w:rFonts w:asciiTheme="minorHAnsi" w:hAnsiTheme="minorHAnsi" w:cs="Arial"/>
        </w:rPr>
        <w:t xml:space="preserve">, o zysku co najmniej 3,5 </w:t>
      </w:r>
      <w:proofErr w:type="spellStart"/>
      <w:r w:rsidRPr="00014DED">
        <w:rPr>
          <w:rFonts w:asciiTheme="minorHAnsi" w:hAnsiTheme="minorHAnsi" w:cs="Arial"/>
        </w:rPr>
        <w:t>dBi</w:t>
      </w:r>
      <w:proofErr w:type="spellEnd"/>
      <w:r w:rsidRPr="00014DED">
        <w:rPr>
          <w:rFonts w:asciiTheme="minorHAnsi" w:hAnsiTheme="minorHAnsi" w:cs="Arial"/>
        </w:rPr>
        <w:t xml:space="preserve"> dla 2,4 </w:t>
      </w:r>
      <w:proofErr w:type="spellStart"/>
      <w:r w:rsidRPr="00014DED">
        <w:rPr>
          <w:rFonts w:asciiTheme="minorHAnsi" w:hAnsiTheme="minorHAnsi" w:cs="Arial"/>
        </w:rPr>
        <w:t>Ghz</w:t>
      </w:r>
      <w:proofErr w:type="spellEnd"/>
      <w:r w:rsidRPr="00014DED">
        <w:rPr>
          <w:rFonts w:asciiTheme="minorHAnsi" w:hAnsiTheme="minorHAnsi" w:cs="Arial"/>
        </w:rPr>
        <w:t xml:space="preserve"> oraz co najmniej 6,8 </w:t>
      </w:r>
      <w:proofErr w:type="spellStart"/>
      <w:r w:rsidRPr="00014DED">
        <w:rPr>
          <w:rFonts w:asciiTheme="minorHAnsi" w:hAnsiTheme="minorHAnsi" w:cs="Arial"/>
        </w:rPr>
        <w:t>dBI</w:t>
      </w:r>
      <w:proofErr w:type="spellEnd"/>
      <w:r w:rsidRPr="00014DED">
        <w:rPr>
          <w:rFonts w:asciiTheme="minorHAnsi" w:hAnsiTheme="minorHAnsi" w:cs="Arial"/>
        </w:rPr>
        <w:t xml:space="preserve"> dla 5 </w:t>
      </w:r>
      <w:proofErr w:type="spellStart"/>
      <w:r w:rsidRPr="00014DED">
        <w:rPr>
          <w:rFonts w:asciiTheme="minorHAnsi" w:hAnsiTheme="minorHAnsi" w:cs="Arial"/>
        </w:rPr>
        <w:t>Ghz</w:t>
      </w:r>
      <w:proofErr w:type="spellEnd"/>
      <w:r w:rsidRPr="00014DED">
        <w:rPr>
          <w:rFonts w:asciiTheme="minorHAnsi" w:hAnsiTheme="minorHAnsi" w:cs="Arial"/>
        </w:rPr>
        <w:t>. Obsługa standardów 802.11</w:t>
      </w:r>
      <w:proofErr w:type="gramStart"/>
      <w:r w:rsidRPr="00014DED">
        <w:rPr>
          <w:rFonts w:asciiTheme="minorHAnsi" w:hAnsiTheme="minorHAnsi" w:cs="Arial"/>
        </w:rPr>
        <w:t>a</w:t>
      </w:r>
      <w:proofErr w:type="gramEnd"/>
      <w:r w:rsidRPr="00014DED">
        <w:rPr>
          <w:rFonts w:asciiTheme="minorHAnsi" w:hAnsiTheme="minorHAnsi" w:cs="Arial"/>
        </w:rPr>
        <w:t>, 802.11</w:t>
      </w:r>
      <w:proofErr w:type="gramStart"/>
      <w:r w:rsidRPr="00014DED">
        <w:rPr>
          <w:rFonts w:asciiTheme="minorHAnsi" w:hAnsiTheme="minorHAnsi" w:cs="Arial"/>
        </w:rPr>
        <w:t>b</w:t>
      </w:r>
      <w:proofErr w:type="gramEnd"/>
      <w:r w:rsidRPr="00014DED">
        <w:rPr>
          <w:rFonts w:asciiTheme="minorHAnsi" w:hAnsiTheme="minorHAnsi" w:cs="Arial"/>
        </w:rPr>
        <w:t xml:space="preserve">, 802.11g, 802.11n, 802.11ac </w:t>
      </w:r>
      <w:proofErr w:type="spellStart"/>
      <w:r w:rsidRPr="00014DED">
        <w:rPr>
          <w:rFonts w:asciiTheme="minorHAnsi" w:hAnsiTheme="minorHAnsi" w:cs="Arial"/>
        </w:rPr>
        <w:t>wave</w:t>
      </w:r>
      <w:proofErr w:type="spellEnd"/>
      <w:r w:rsidRPr="00014DED">
        <w:rPr>
          <w:rFonts w:asciiTheme="minorHAnsi" w:hAnsiTheme="minorHAnsi" w:cs="Arial"/>
        </w:rPr>
        <w:t xml:space="preserve"> 2</w:t>
      </w:r>
    </w:p>
    <w:p w:rsidR="00014DED" w:rsidRPr="00014DED" w:rsidRDefault="00014DED" w:rsidP="00275209">
      <w:pPr>
        <w:autoSpaceDE w:val="0"/>
        <w:autoSpaceDN w:val="0"/>
        <w:adjustRightInd w:val="0"/>
        <w:spacing w:after="0"/>
        <w:rPr>
          <w:rFonts w:asciiTheme="minorHAnsi" w:hAnsiTheme="minorHAnsi" w:cs="Arial"/>
        </w:rPr>
      </w:pPr>
      <w:proofErr w:type="gramStart"/>
      <w:r w:rsidRPr="00014DED">
        <w:rPr>
          <w:rFonts w:asciiTheme="minorHAnsi" w:hAnsiTheme="minorHAnsi" w:cs="Arial"/>
        </w:rPr>
        <w:t>z</w:t>
      </w:r>
      <w:proofErr w:type="gramEnd"/>
      <w:r w:rsidRPr="00014DED">
        <w:rPr>
          <w:rFonts w:asciiTheme="minorHAnsi" w:hAnsiTheme="minorHAnsi" w:cs="Arial"/>
        </w:rPr>
        <w:t xml:space="preserve"> nas</w:t>
      </w:r>
      <w:r w:rsidR="00275209">
        <w:rPr>
          <w:rFonts w:asciiTheme="minorHAnsi" w:hAnsiTheme="minorHAnsi" w:cs="Arial"/>
        </w:rPr>
        <w:t>zej wiedzy nie mam na rynku urzą</w:t>
      </w:r>
      <w:r w:rsidRPr="00014DED">
        <w:rPr>
          <w:rFonts w:asciiTheme="minorHAnsi" w:hAnsiTheme="minorHAnsi" w:cs="Arial"/>
        </w:rPr>
        <w:t>dzeń z prze</w:t>
      </w:r>
      <w:r w:rsidR="00275209">
        <w:rPr>
          <w:rFonts w:asciiTheme="minorHAnsi" w:hAnsiTheme="minorHAnsi" w:cs="Arial"/>
        </w:rPr>
        <w:t>znaczeniem do wewną</w:t>
      </w:r>
      <w:r w:rsidRPr="00014DED">
        <w:rPr>
          <w:rFonts w:asciiTheme="minorHAnsi" w:hAnsiTheme="minorHAnsi" w:cs="Arial"/>
        </w:rPr>
        <w:t>trz z takimi parametrami</w:t>
      </w:r>
    </w:p>
    <w:p w:rsidR="009945A5" w:rsidRDefault="009945A5" w:rsidP="00275209">
      <w:pPr>
        <w:autoSpaceDE w:val="0"/>
        <w:autoSpaceDN w:val="0"/>
        <w:adjustRightInd w:val="0"/>
        <w:spacing w:after="0"/>
        <w:rPr>
          <w:rFonts w:asciiTheme="minorHAnsi" w:hAnsiTheme="minorHAnsi" w:cs="Arial"/>
        </w:rPr>
      </w:pPr>
    </w:p>
    <w:p w:rsidR="00014DED" w:rsidRPr="00014DED" w:rsidRDefault="00014DED" w:rsidP="00275209">
      <w:pPr>
        <w:autoSpaceDE w:val="0"/>
        <w:autoSpaceDN w:val="0"/>
        <w:adjustRightInd w:val="0"/>
        <w:spacing w:after="0"/>
        <w:rPr>
          <w:rFonts w:asciiTheme="minorHAnsi" w:hAnsiTheme="minorHAnsi" w:cs="Arial"/>
        </w:rPr>
      </w:pPr>
      <w:r w:rsidRPr="00014DED">
        <w:rPr>
          <w:rFonts w:asciiTheme="minorHAnsi" w:hAnsiTheme="minorHAnsi" w:cs="Arial"/>
        </w:rPr>
        <w:t>zatem pytanie:</w:t>
      </w:r>
    </w:p>
    <w:p w:rsidR="00014DED" w:rsidRPr="00014DED" w:rsidRDefault="00014DED" w:rsidP="00275209">
      <w:pPr>
        <w:autoSpaceDE w:val="0"/>
        <w:autoSpaceDN w:val="0"/>
        <w:adjustRightInd w:val="0"/>
        <w:spacing w:after="0"/>
        <w:rPr>
          <w:rFonts w:asciiTheme="minorHAnsi" w:hAnsiTheme="minorHAnsi" w:cs="Arial"/>
        </w:rPr>
      </w:pPr>
      <w:proofErr w:type="gramStart"/>
      <w:r w:rsidRPr="00014DED">
        <w:rPr>
          <w:rFonts w:asciiTheme="minorHAnsi" w:hAnsiTheme="minorHAnsi" w:cs="Arial"/>
        </w:rPr>
        <w:t>czy</w:t>
      </w:r>
      <w:proofErr w:type="gramEnd"/>
      <w:r w:rsidRPr="00014DED">
        <w:rPr>
          <w:rFonts w:asciiTheme="minorHAnsi" w:hAnsiTheme="minorHAnsi" w:cs="Arial"/>
        </w:rPr>
        <w:t xml:space="preserve"> Zamawiający dopuszcza zapis</w:t>
      </w:r>
    </w:p>
    <w:p w:rsidR="00014DED" w:rsidRPr="00014DED" w:rsidRDefault="00014DED" w:rsidP="00275209">
      <w:pPr>
        <w:autoSpaceDE w:val="0"/>
        <w:autoSpaceDN w:val="0"/>
        <w:adjustRightInd w:val="0"/>
        <w:spacing w:after="0"/>
        <w:rPr>
          <w:rFonts w:asciiTheme="minorHAnsi" w:hAnsiTheme="minorHAnsi" w:cs="Arial"/>
        </w:rPr>
      </w:pPr>
      <w:r w:rsidRPr="00014DED">
        <w:rPr>
          <w:rFonts w:asciiTheme="minorHAnsi" w:hAnsiTheme="minorHAnsi" w:cs="Arial"/>
        </w:rPr>
        <w:t>Punkt dostępowy musi posiadać 2 dwu zakresowe wbudowane anteny do pracy w trybie 2x</w:t>
      </w:r>
      <w:proofErr w:type="gramStart"/>
      <w:r w:rsidRPr="00014DED">
        <w:rPr>
          <w:rFonts w:asciiTheme="minorHAnsi" w:hAnsiTheme="minorHAnsi" w:cs="Arial"/>
        </w:rPr>
        <w:t>2:2 MU-MIMO</w:t>
      </w:r>
      <w:proofErr w:type="gramEnd"/>
      <w:r w:rsidRPr="00014DED">
        <w:rPr>
          <w:rFonts w:asciiTheme="minorHAnsi" w:hAnsiTheme="minorHAnsi" w:cs="Arial"/>
        </w:rPr>
        <w:t xml:space="preserve">, o zysku co najmniej 3,5 </w:t>
      </w:r>
      <w:proofErr w:type="spellStart"/>
      <w:r w:rsidRPr="00014DED">
        <w:rPr>
          <w:rFonts w:asciiTheme="minorHAnsi" w:hAnsiTheme="minorHAnsi" w:cs="Arial"/>
        </w:rPr>
        <w:t>dBi</w:t>
      </w:r>
      <w:proofErr w:type="spellEnd"/>
      <w:r w:rsidRPr="00014DED">
        <w:rPr>
          <w:rFonts w:asciiTheme="minorHAnsi" w:hAnsiTheme="minorHAnsi" w:cs="Arial"/>
        </w:rPr>
        <w:t xml:space="preserve"> dla 2,4 </w:t>
      </w:r>
      <w:proofErr w:type="spellStart"/>
      <w:r w:rsidRPr="00014DED">
        <w:rPr>
          <w:rFonts w:asciiTheme="minorHAnsi" w:hAnsiTheme="minorHAnsi" w:cs="Arial"/>
        </w:rPr>
        <w:t>Ghz</w:t>
      </w:r>
      <w:proofErr w:type="spellEnd"/>
      <w:r w:rsidRPr="00014DED">
        <w:rPr>
          <w:rFonts w:asciiTheme="minorHAnsi" w:hAnsiTheme="minorHAnsi" w:cs="Arial"/>
        </w:rPr>
        <w:t xml:space="preserve"> oraz co najmniej 5,2 </w:t>
      </w:r>
      <w:proofErr w:type="spellStart"/>
      <w:r w:rsidRPr="00014DED">
        <w:rPr>
          <w:rFonts w:asciiTheme="minorHAnsi" w:hAnsiTheme="minorHAnsi" w:cs="Arial"/>
        </w:rPr>
        <w:t>dBI</w:t>
      </w:r>
      <w:proofErr w:type="spellEnd"/>
      <w:r w:rsidRPr="00014DED">
        <w:rPr>
          <w:rFonts w:asciiTheme="minorHAnsi" w:hAnsiTheme="minorHAnsi" w:cs="Arial"/>
        </w:rPr>
        <w:t xml:space="preserve"> dla 5 </w:t>
      </w:r>
      <w:proofErr w:type="spellStart"/>
      <w:r w:rsidRPr="00014DED">
        <w:rPr>
          <w:rFonts w:asciiTheme="minorHAnsi" w:hAnsiTheme="minorHAnsi" w:cs="Arial"/>
        </w:rPr>
        <w:t>Ghz</w:t>
      </w:r>
      <w:proofErr w:type="spellEnd"/>
      <w:r w:rsidRPr="00014DED">
        <w:rPr>
          <w:rFonts w:asciiTheme="minorHAnsi" w:hAnsiTheme="minorHAnsi" w:cs="Arial"/>
        </w:rPr>
        <w:t>. Obsługa standardów 802.11</w:t>
      </w:r>
      <w:proofErr w:type="gramStart"/>
      <w:r w:rsidRPr="00014DED">
        <w:rPr>
          <w:rFonts w:asciiTheme="minorHAnsi" w:hAnsiTheme="minorHAnsi" w:cs="Arial"/>
        </w:rPr>
        <w:t>a</w:t>
      </w:r>
      <w:proofErr w:type="gramEnd"/>
      <w:r w:rsidRPr="00014DED">
        <w:rPr>
          <w:rFonts w:asciiTheme="minorHAnsi" w:hAnsiTheme="minorHAnsi" w:cs="Arial"/>
        </w:rPr>
        <w:t>, 802.11</w:t>
      </w:r>
      <w:proofErr w:type="gramStart"/>
      <w:r w:rsidRPr="00014DED">
        <w:rPr>
          <w:rFonts w:asciiTheme="minorHAnsi" w:hAnsiTheme="minorHAnsi" w:cs="Arial"/>
        </w:rPr>
        <w:t>b</w:t>
      </w:r>
      <w:proofErr w:type="gramEnd"/>
      <w:r w:rsidRPr="00014DED">
        <w:rPr>
          <w:rFonts w:asciiTheme="minorHAnsi" w:hAnsiTheme="minorHAnsi" w:cs="Arial"/>
        </w:rPr>
        <w:t xml:space="preserve">, 802.11g, 802.11n, 802.11ac </w:t>
      </w:r>
      <w:proofErr w:type="spellStart"/>
      <w:r w:rsidRPr="00014DED">
        <w:rPr>
          <w:rFonts w:asciiTheme="minorHAnsi" w:hAnsiTheme="minorHAnsi" w:cs="Arial"/>
        </w:rPr>
        <w:t>wave</w:t>
      </w:r>
      <w:proofErr w:type="spellEnd"/>
      <w:r w:rsidRPr="00014DED">
        <w:rPr>
          <w:rFonts w:asciiTheme="minorHAnsi" w:hAnsiTheme="minorHAnsi" w:cs="Arial"/>
        </w:rPr>
        <w:t xml:space="preserve"> 2</w:t>
      </w:r>
    </w:p>
    <w:p w:rsidR="00014DED" w:rsidRPr="00FF64A7" w:rsidRDefault="00FF64A7" w:rsidP="00275209">
      <w:pPr>
        <w:autoSpaceDE w:val="0"/>
        <w:autoSpaceDN w:val="0"/>
        <w:adjustRightInd w:val="0"/>
        <w:spacing w:after="0"/>
        <w:rPr>
          <w:rFonts w:asciiTheme="minorHAnsi" w:hAnsiTheme="minorHAnsi" w:cs="Arial"/>
          <w:b/>
        </w:rPr>
      </w:pPr>
      <w:r w:rsidRPr="00FF64A7">
        <w:rPr>
          <w:rFonts w:asciiTheme="minorHAnsi" w:hAnsiTheme="minorHAnsi" w:cs="Arial"/>
          <w:b/>
        </w:rPr>
        <w:t>Odpowiedź:</w:t>
      </w:r>
    </w:p>
    <w:p w:rsidR="00FD5ED6" w:rsidRDefault="00FD5ED6" w:rsidP="00FF64A7">
      <w:pPr>
        <w:spacing w:after="0"/>
        <w:jc w:val="both"/>
      </w:pPr>
      <w:r>
        <w:t>Zamawiający dopuszcza następujący zapis:</w:t>
      </w:r>
    </w:p>
    <w:p w:rsidR="00FF64A7" w:rsidRDefault="00FD5ED6" w:rsidP="00FF64A7">
      <w:pPr>
        <w:spacing w:after="0"/>
        <w:jc w:val="both"/>
        <w:rPr>
          <w:rFonts w:asciiTheme="minorHAnsi" w:hAnsiTheme="minorHAnsi" w:cs="Calibri"/>
          <w:b/>
          <w:bCs/>
        </w:rPr>
      </w:pPr>
      <w:r>
        <w:t>Punkt dostępowy musi posiadać 2 dwu zakresowe wbudowane anteny do pracy w trybie 2x</w:t>
      </w:r>
      <w:proofErr w:type="gramStart"/>
      <w:r>
        <w:t>2:2 MU-MIMO</w:t>
      </w:r>
      <w:proofErr w:type="gramEnd"/>
      <w:r>
        <w:t xml:space="preserve">, o zysku co najmniej 3,3 </w:t>
      </w:r>
      <w:proofErr w:type="spellStart"/>
      <w:r>
        <w:t>dBi</w:t>
      </w:r>
      <w:proofErr w:type="spellEnd"/>
      <w:r>
        <w:t xml:space="preserve"> dla 2,4 </w:t>
      </w:r>
      <w:proofErr w:type="spellStart"/>
      <w:r>
        <w:t>Ghz</w:t>
      </w:r>
      <w:proofErr w:type="spellEnd"/>
      <w:r>
        <w:t xml:space="preserve"> oraz co najmniej 5,8 </w:t>
      </w:r>
      <w:proofErr w:type="spellStart"/>
      <w:r>
        <w:t>dBI</w:t>
      </w:r>
      <w:proofErr w:type="spellEnd"/>
      <w:r>
        <w:t xml:space="preserve"> dla 5 </w:t>
      </w:r>
      <w:proofErr w:type="spellStart"/>
      <w:r>
        <w:t>Ghz</w:t>
      </w:r>
      <w:proofErr w:type="spellEnd"/>
      <w:r>
        <w:t>. Obsługa standardów 802.11</w:t>
      </w:r>
      <w:proofErr w:type="gramStart"/>
      <w:r>
        <w:t>a</w:t>
      </w:r>
      <w:proofErr w:type="gramEnd"/>
      <w:r>
        <w:t>, 802.11</w:t>
      </w:r>
      <w:proofErr w:type="gramStart"/>
      <w:r>
        <w:t>b</w:t>
      </w:r>
      <w:proofErr w:type="gramEnd"/>
      <w:r>
        <w:t xml:space="preserve">, 802.11g, 802.11n, 802.11ac </w:t>
      </w:r>
      <w:proofErr w:type="spellStart"/>
      <w:r>
        <w:t>wave</w:t>
      </w:r>
      <w:proofErr w:type="spellEnd"/>
      <w:r>
        <w:t xml:space="preserve"> 2</w:t>
      </w:r>
    </w:p>
    <w:p w:rsidR="00FD5ED6" w:rsidRDefault="00FD5ED6" w:rsidP="00FF64A7">
      <w:pPr>
        <w:spacing w:after="0"/>
        <w:jc w:val="both"/>
        <w:rPr>
          <w:rFonts w:asciiTheme="minorHAnsi" w:hAnsiTheme="minorHAnsi" w:cs="Calibri"/>
          <w:b/>
          <w:bCs/>
        </w:rPr>
      </w:pPr>
    </w:p>
    <w:p w:rsidR="00FF64A7" w:rsidRDefault="00FF64A7" w:rsidP="00FF64A7">
      <w:pPr>
        <w:spacing w:after="0"/>
        <w:jc w:val="both"/>
        <w:rPr>
          <w:rFonts w:asciiTheme="minorHAnsi" w:hAnsiTheme="minorHAnsi" w:cs="Calibri"/>
          <w:b/>
          <w:bCs/>
        </w:rPr>
      </w:pPr>
      <w:r>
        <w:rPr>
          <w:rFonts w:asciiTheme="minorHAnsi" w:hAnsiTheme="minorHAnsi" w:cs="Calibri"/>
          <w:b/>
          <w:bCs/>
        </w:rPr>
        <w:t>Pytanie nr 2</w:t>
      </w:r>
    </w:p>
    <w:p w:rsidR="00FF64A7" w:rsidRDefault="00FF64A7" w:rsidP="00275209">
      <w:pPr>
        <w:autoSpaceDE w:val="0"/>
        <w:autoSpaceDN w:val="0"/>
        <w:adjustRightInd w:val="0"/>
        <w:spacing w:after="0"/>
        <w:rPr>
          <w:rFonts w:asciiTheme="minorHAnsi" w:hAnsiTheme="minorHAnsi" w:cs="Arial"/>
        </w:rPr>
      </w:pPr>
      <w:r>
        <w:rPr>
          <w:rFonts w:asciiTheme="minorHAnsi" w:hAnsiTheme="minorHAnsi" w:cs="Arial"/>
        </w:rPr>
        <w:t>C</w:t>
      </w:r>
      <w:r w:rsidR="00014DED" w:rsidRPr="00014DED">
        <w:rPr>
          <w:rFonts w:asciiTheme="minorHAnsi" w:hAnsiTheme="minorHAnsi" w:cs="Arial"/>
        </w:rPr>
        <w:t xml:space="preserve">zy </w:t>
      </w:r>
      <w:r>
        <w:rPr>
          <w:rFonts w:asciiTheme="minorHAnsi" w:hAnsiTheme="minorHAnsi" w:cs="Arial"/>
        </w:rPr>
        <w:t xml:space="preserve">Zamawiający </w:t>
      </w:r>
      <w:r w:rsidR="00014DED" w:rsidRPr="00014DED">
        <w:rPr>
          <w:rFonts w:asciiTheme="minorHAnsi" w:hAnsiTheme="minorHAnsi" w:cs="Arial"/>
        </w:rPr>
        <w:t xml:space="preserve">dopuszcza urządzenia o następujących </w:t>
      </w:r>
      <w:proofErr w:type="gramStart"/>
      <w:r w:rsidR="00014DED" w:rsidRPr="00014DED">
        <w:rPr>
          <w:rFonts w:asciiTheme="minorHAnsi" w:hAnsiTheme="minorHAnsi" w:cs="Arial"/>
        </w:rPr>
        <w:t>parametrach</w:t>
      </w:r>
      <w:r w:rsidR="00275209">
        <w:rPr>
          <w:rFonts w:asciiTheme="minorHAnsi" w:hAnsiTheme="minorHAnsi" w:cs="Arial"/>
        </w:rPr>
        <w:t>:</w:t>
      </w:r>
      <w:proofErr w:type="gramEnd"/>
    </w:p>
    <w:p w:rsidR="00FF64A7" w:rsidRPr="00FF64A7" w:rsidRDefault="00FF64A7" w:rsidP="00275209">
      <w:pPr>
        <w:autoSpaceDE w:val="0"/>
        <w:autoSpaceDN w:val="0"/>
        <w:adjustRightInd w:val="0"/>
        <w:spacing w:after="0"/>
        <w:rPr>
          <w:rFonts w:asciiTheme="minorHAnsi" w:hAnsiTheme="minorHAnsi" w:cs="Arial"/>
        </w:rPr>
      </w:pPr>
    </w:p>
    <w:p w:rsidR="00FF64A7" w:rsidRPr="00FF64A7" w:rsidRDefault="00FF64A7" w:rsidP="00FF64A7">
      <w:pPr>
        <w:tabs>
          <w:tab w:val="left" w:pos="1080"/>
        </w:tabs>
        <w:spacing w:after="0"/>
        <w:rPr>
          <w:rFonts w:asciiTheme="minorHAnsi" w:hAnsiTheme="minorHAnsi"/>
          <w:b/>
        </w:rPr>
      </w:pPr>
      <w:r w:rsidRPr="00FF64A7">
        <w:rPr>
          <w:rFonts w:asciiTheme="minorHAnsi" w:hAnsiTheme="minorHAnsi"/>
          <w:b/>
        </w:rPr>
        <w:t xml:space="preserve">Kontroler </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rPr>
      </w:pPr>
      <w:r w:rsidRPr="00FF64A7">
        <w:rPr>
          <w:rFonts w:asciiTheme="minorHAnsi" w:hAnsiTheme="minorHAnsi"/>
          <w:sz w:val="22"/>
          <w:szCs w:val="22"/>
        </w:rPr>
        <w:t>Obudowa: Anodyzowane aluminium</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lang w:val="en-US"/>
        </w:rPr>
      </w:pPr>
      <w:proofErr w:type="spellStart"/>
      <w:r w:rsidRPr="00FF64A7">
        <w:rPr>
          <w:rFonts w:asciiTheme="minorHAnsi" w:hAnsiTheme="minorHAnsi"/>
          <w:sz w:val="22"/>
          <w:szCs w:val="22"/>
          <w:lang w:val="en-US"/>
        </w:rPr>
        <w:t>Interfejs</w:t>
      </w:r>
      <w:proofErr w:type="spellEnd"/>
      <w:r w:rsidRPr="00FF64A7">
        <w:rPr>
          <w:rFonts w:asciiTheme="minorHAnsi" w:hAnsiTheme="minorHAnsi"/>
          <w:sz w:val="22"/>
          <w:szCs w:val="22"/>
          <w:lang w:val="en-US"/>
        </w:rPr>
        <w:t xml:space="preserve"> </w:t>
      </w:r>
      <w:proofErr w:type="spellStart"/>
      <w:r w:rsidRPr="00FF64A7">
        <w:rPr>
          <w:rFonts w:asciiTheme="minorHAnsi" w:hAnsiTheme="minorHAnsi"/>
          <w:sz w:val="22"/>
          <w:szCs w:val="22"/>
          <w:lang w:val="en-US"/>
        </w:rPr>
        <w:t>zarządzania</w:t>
      </w:r>
      <w:proofErr w:type="spellEnd"/>
      <w:r w:rsidRPr="00FF64A7">
        <w:rPr>
          <w:rFonts w:asciiTheme="minorHAnsi" w:hAnsiTheme="minorHAnsi"/>
          <w:sz w:val="22"/>
          <w:szCs w:val="22"/>
          <w:lang w:val="en-US"/>
        </w:rPr>
        <w:t xml:space="preserve">: </w:t>
      </w:r>
      <w:proofErr w:type="spellStart"/>
      <w:r w:rsidRPr="00FF64A7">
        <w:rPr>
          <w:rFonts w:asciiTheme="minorHAnsi" w:hAnsiTheme="minorHAnsi"/>
          <w:sz w:val="22"/>
          <w:szCs w:val="22"/>
          <w:lang w:val="en-US"/>
        </w:rPr>
        <w:t>UniFi</w:t>
      </w:r>
      <w:proofErr w:type="spellEnd"/>
      <w:r w:rsidRPr="00FF64A7">
        <w:rPr>
          <w:rFonts w:asciiTheme="minorHAnsi" w:hAnsiTheme="minorHAnsi"/>
          <w:sz w:val="22"/>
          <w:szCs w:val="22"/>
          <w:lang w:val="en-US"/>
        </w:rPr>
        <w:t xml:space="preserve"> Management Portal; </w:t>
      </w:r>
      <w:proofErr w:type="spellStart"/>
      <w:r w:rsidRPr="00FF64A7">
        <w:rPr>
          <w:rFonts w:asciiTheme="minorHAnsi" w:hAnsiTheme="minorHAnsi"/>
          <w:sz w:val="22"/>
          <w:szCs w:val="22"/>
          <w:lang w:val="en-US"/>
        </w:rPr>
        <w:t>UniFi</w:t>
      </w:r>
      <w:proofErr w:type="spellEnd"/>
      <w:r w:rsidRPr="00FF64A7">
        <w:rPr>
          <w:rFonts w:asciiTheme="minorHAnsi" w:hAnsiTheme="minorHAnsi"/>
          <w:sz w:val="22"/>
          <w:szCs w:val="22"/>
          <w:lang w:val="en-US"/>
        </w:rPr>
        <w:t xml:space="preserve"> SDN; </w:t>
      </w:r>
      <w:proofErr w:type="spellStart"/>
      <w:r w:rsidRPr="00FF64A7">
        <w:rPr>
          <w:rFonts w:asciiTheme="minorHAnsi" w:hAnsiTheme="minorHAnsi"/>
          <w:sz w:val="22"/>
          <w:szCs w:val="22"/>
          <w:lang w:val="en-US"/>
        </w:rPr>
        <w:t>UniFi</w:t>
      </w:r>
      <w:proofErr w:type="spellEnd"/>
      <w:r w:rsidRPr="00FF64A7">
        <w:rPr>
          <w:rFonts w:asciiTheme="minorHAnsi" w:hAnsiTheme="minorHAnsi"/>
          <w:sz w:val="22"/>
          <w:szCs w:val="22"/>
          <w:lang w:val="en-US"/>
        </w:rPr>
        <w:t xml:space="preserve"> Protect</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rPr>
      </w:pPr>
      <w:r w:rsidRPr="00FF64A7">
        <w:rPr>
          <w:rFonts w:asciiTheme="minorHAnsi" w:hAnsiTheme="minorHAnsi"/>
          <w:sz w:val="22"/>
          <w:szCs w:val="22"/>
        </w:rPr>
        <w:t>Pojemność dysku: 1 TB 2.5" SATA HDD (</w:t>
      </w:r>
      <w:proofErr w:type="spellStart"/>
      <w:r w:rsidRPr="00FF64A7">
        <w:rPr>
          <w:rFonts w:asciiTheme="minorHAnsi" w:hAnsiTheme="minorHAnsi"/>
          <w:sz w:val="22"/>
          <w:szCs w:val="22"/>
        </w:rPr>
        <w:t>user-upgradeable</w:t>
      </w:r>
      <w:proofErr w:type="spellEnd"/>
      <w:r w:rsidRPr="00FF64A7">
        <w:rPr>
          <w:rFonts w:asciiTheme="minorHAnsi" w:hAnsiTheme="minorHAnsi"/>
          <w:sz w:val="22"/>
          <w:szCs w:val="22"/>
        </w:rPr>
        <w:t>)</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rPr>
      </w:pPr>
      <w:r w:rsidRPr="00FF64A7">
        <w:rPr>
          <w:rFonts w:asciiTheme="minorHAnsi" w:hAnsiTheme="minorHAnsi"/>
          <w:sz w:val="22"/>
          <w:szCs w:val="22"/>
        </w:rPr>
        <w:t xml:space="preserve">Pojemność urządzenia: </w:t>
      </w:r>
      <w:proofErr w:type="spellStart"/>
      <w:r w:rsidRPr="00FF64A7">
        <w:rPr>
          <w:rFonts w:asciiTheme="minorHAnsi" w:hAnsiTheme="minorHAnsi"/>
          <w:sz w:val="22"/>
          <w:szCs w:val="22"/>
        </w:rPr>
        <w:t>UniFi</w:t>
      </w:r>
      <w:proofErr w:type="spellEnd"/>
      <w:r w:rsidRPr="00FF64A7">
        <w:rPr>
          <w:rFonts w:asciiTheme="minorHAnsi" w:hAnsiTheme="minorHAnsi"/>
          <w:sz w:val="22"/>
          <w:szCs w:val="22"/>
        </w:rPr>
        <w:t xml:space="preserve"> </w:t>
      </w:r>
      <w:proofErr w:type="spellStart"/>
      <w:r w:rsidRPr="00FF64A7">
        <w:rPr>
          <w:rFonts w:asciiTheme="minorHAnsi" w:hAnsiTheme="minorHAnsi"/>
          <w:sz w:val="22"/>
          <w:szCs w:val="22"/>
        </w:rPr>
        <w:t>Protect</w:t>
      </w:r>
      <w:proofErr w:type="spellEnd"/>
      <w:r w:rsidRPr="00FF64A7">
        <w:rPr>
          <w:rFonts w:asciiTheme="minorHAnsi" w:hAnsiTheme="minorHAnsi"/>
          <w:sz w:val="22"/>
          <w:szCs w:val="22"/>
        </w:rPr>
        <w:t xml:space="preserve"> </w:t>
      </w:r>
      <w:proofErr w:type="spellStart"/>
      <w:r w:rsidRPr="00FF64A7">
        <w:rPr>
          <w:rFonts w:asciiTheme="minorHAnsi" w:hAnsiTheme="minorHAnsi"/>
          <w:sz w:val="22"/>
          <w:szCs w:val="22"/>
        </w:rPr>
        <w:t>Mode</w:t>
      </w:r>
      <w:proofErr w:type="spellEnd"/>
      <w:r w:rsidRPr="00FF64A7">
        <w:rPr>
          <w:rFonts w:asciiTheme="minorHAnsi" w:hAnsiTheme="minorHAnsi"/>
          <w:sz w:val="22"/>
          <w:szCs w:val="22"/>
        </w:rPr>
        <w:t xml:space="preserve"> - do 20 kamer </w:t>
      </w:r>
      <w:proofErr w:type="spellStart"/>
      <w:r w:rsidRPr="00FF64A7">
        <w:rPr>
          <w:rFonts w:asciiTheme="minorHAnsi" w:hAnsiTheme="minorHAnsi"/>
          <w:sz w:val="22"/>
          <w:szCs w:val="22"/>
        </w:rPr>
        <w:t>UniFi</w:t>
      </w:r>
      <w:proofErr w:type="spellEnd"/>
      <w:r w:rsidRPr="00FF64A7">
        <w:rPr>
          <w:rFonts w:asciiTheme="minorHAnsi" w:hAnsiTheme="minorHAnsi"/>
          <w:sz w:val="22"/>
          <w:szCs w:val="22"/>
        </w:rPr>
        <w:t xml:space="preserve">; </w:t>
      </w:r>
      <w:proofErr w:type="spellStart"/>
      <w:r w:rsidRPr="00FF64A7">
        <w:rPr>
          <w:rFonts w:asciiTheme="minorHAnsi" w:hAnsiTheme="minorHAnsi"/>
          <w:sz w:val="22"/>
          <w:szCs w:val="22"/>
        </w:rPr>
        <w:t>UniFi</w:t>
      </w:r>
      <w:proofErr w:type="spellEnd"/>
      <w:r w:rsidRPr="00FF64A7">
        <w:rPr>
          <w:rFonts w:asciiTheme="minorHAnsi" w:hAnsiTheme="minorHAnsi"/>
          <w:sz w:val="22"/>
          <w:szCs w:val="22"/>
        </w:rPr>
        <w:t xml:space="preserve"> SDN + </w:t>
      </w:r>
      <w:proofErr w:type="spellStart"/>
      <w:r w:rsidRPr="00FF64A7">
        <w:rPr>
          <w:rFonts w:asciiTheme="minorHAnsi" w:hAnsiTheme="minorHAnsi"/>
          <w:sz w:val="22"/>
          <w:szCs w:val="22"/>
        </w:rPr>
        <w:t>UniFi</w:t>
      </w:r>
      <w:proofErr w:type="spellEnd"/>
      <w:r w:rsidRPr="00FF64A7">
        <w:rPr>
          <w:rFonts w:asciiTheme="minorHAnsi" w:hAnsiTheme="minorHAnsi"/>
          <w:sz w:val="22"/>
          <w:szCs w:val="22"/>
        </w:rPr>
        <w:t xml:space="preserve"> </w:t>
      </w:r>
      <w:proofErr w:type="spellStart"/>
      <w:r w:rsidRPr="00FF64A7">
        <w:rPr>
          <w:rFonts w:asciiTheme="minorHAnsi" w:hAnsiTheme="minorHAnsi"/>
          <w:sz w:val="22"/>
          <w:szCs w:val="22"/>
        </w:rPr>
        <w:t>Protect</w:t>
      </w:r>
      <w:proofErr w:type="spellEnd"/>
      <w:r w:rsidRPr="00FF64A7">
        <w:rPr>
          <w:rFonts w:asciiTheme="minorHAnsi" w:hAnsiTheme="minorHAnsi"/>
          <w:sz w:val="22"/>
          <w:szCs w:val="22"/>
        </w:rPr>
        <w:t xml:space="preserve"> - do 15 kamer; </w:t>
      </w:r>
      <w:proofErr w:type="spellStart"/>
      <w:r w:rsidRPr="00FF64A7">
        <w:rPr>
          <w:rFonts w:asciiTheme="minorHAnsi" w:hAnsiTheme="minorHAnsi"/>
          <w:sz w:val="22"/>
          <w:szCs w:val="22"/>
        </w:rPr>
        <w:t>UniFi</w:t>
      </w:r>
      <w:proofErr w:type="spellEnd"/>
      <w:r w:rsidRPr="00FF64A7">
        <w:rPr>
          <w:rFonts w:asciiTheme="minorHAnsi" w:hAnsiTheme="minorHAnsi"/>
          <w:sz w:val="22"/>
          <w:szCs w:val="22"/>
        </w:rPr>
        <w:t xml:space="preserve"> oraz do 50 urządzeń </w:t>
      </w:r>
      <w:proofErr w:type="spellStart"/>
      <w:r w:rsidRPr="00FF64A7">
        <w:rPr>
          <w:rFonts w:asciiTheme="minorHAnsi" w:hAnsiTheme="minorHAnsi"/>
          <w:sz w:val="22"/>
          <w:szCs w:val="22"/>
        </w:rPr>
        <w:t>UniFi</w:t>
      </w:r>
      <w:proofErr w:type="spellEnd"/>
    </w:p>
    <w:p w:rsidR="00FF64A7" w:rsidRPr="00FF64A7" w:rsidRDefault="00FF64A7" w:rsidP="00FF64A7">
      <w:pPr>
        <w:pStyle w:val="Akapitzlist"/>
        <w:numPr>
          <w:ilvl w:val="0"/>
          <w:numId w:val="8"/>
        </w:numPr>
        <w:tabs>
          <w:tab w:val="left" w:pos="1080"/>
        </w:tabs>
        <w:spacing w:after="0"/>
        <w:rPr>
          <w:rFonts w:asciiTheme="minorHAnsi" w:hAnsiTheme="minorHAnsi"/>
          <w:sz w:val="22"/>
          <w:szCs w:val="22"/>
          <w:lang w:val="en-US"/>
        </w:rPr>
      </w:pPr>
      <w:proofErr w:type="spellStart"/>
      <w:r w:rsidRPr="00FF64A7">
        <w:rPr>
          <w:rFonts w:asciiTheme="minorHAnsi" w:hAnsiTheme="minorHAnsi"/>
          <w:sz w:val="22"/>
          <w:szCs w:val="22"/>
          <w:lang w:val="en-US"/>
        </w:rPr>
        <w:t>Procesor</w:t>
      </w:r>
      <w:proofErr w:type="spellEnd"/>
      <w:r w:rsidRPr="00FF64A7">
        <w:rPr>
          <w:rFonts w:asciiTheme="minorHAnsi" w:hAnsiTheme="minorHAnsi"/>
          <w:sz w:val="22"/>
          <w:szCs w:val="22"/>
          <w:lang w:val="en-US"/>
        </w:rPr>
        <w:t>: APQ8053 8 Core with 3 GB RAM</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lang w:val="en-US"/>
        </w:rPr>
      </w:pPr>
      <w:proofErr w:type="spellStart"/>
      <w:r w:rsidRPr="00FF64A7">
        <w:rPr>
          <w:rFonts w:asciiTheme="minorHAnsi" w:hAnsiTheme="minorHAnsi"/>
          <w:sz w:val="22"/>
          <w:szCs w:val="22"/>
          <w:lang w:val="en-US"/>
        </w:rPr>
        <w:t>eMMC</w:t>
      </w:r>
      <w:proofErr w:type="spellEnd"/>
      <w:r w:rsidRPr="00FF64A7">
        <w:rPr>
          <w:rFonts w:asciiTheme="minorHAnsi" w:hAnsiTheme="minorHAnsi"/>
          <w:sz w:val="22"/>
          <w:szCs w:val="22"/>
          <w:lang w:val="en-US"/>
        </w:rPr>
        <w:t xml:space="preserve"> Memory: 32 GB</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lang w:val="en-US"/>
        </w:rPr>
      </w:pPr>
      <w:proofErr w:type="spellStart"/>
      <w:r w:rsidRPr="00FF64A7">
        <w:rPr>
          <w:rFonts w:asciiTheme="minorHAnsi" w:hAnsiTheme="minorHAnsi"/>
          <w:sz w:val="22"/>
          <w:szCs w:val="22"/>
          <w:lang w:val="en-US"/>
        </w:rPr>
        <w:t>Interfejs</w:t>
      </w:r>
      <w:proofErr w:type="spellEnd"/>
      <w:r w:rsidRPr="00FF64A7">
        <w:rPr>
          <w:rFonts w:asciiTheme="minorHAnsi" w:hAnsiTheme="minorHAnsi"/>
          <w:sz w:val="22"/>
          <w:szCs w:val="22"/>
          <w:lang w:val="en-US"/>
        </w:rPr>
        <w:t xml:space="preserve"> </w:t>
      </w:r>
      <w:proofErr w:type="spellStart"/>
      <w:r w:rsidRPr="00FF64A7">
        <w:rPr>
          <w:rFonts w:asciiTheme="minorHAnsi" w:hAnsiTheme="minorHAnsi"/>
          <w:sz w:val="22"/>
          <w:szCs w:val="22"/>
          <w:lang w:val="en-US"/>
        </w:rPr>
        <w:t>sieciowy</w:t>
      </w:r>
      <w:proofErr w:type="spellEnd"/>
      <w:r w:rsidRPr="00FF64A7">
        <w:rPr>
          <w:rFonts w:asciiTheme="minorHAnsi" w:hAnsiTheme="minorHAnsi"/>
          <w:sz w:val="22"/>
          <w:szCs w:val="22"/>
          <w:lang w:val="en-US"/>
        </w:rPr>
        <w:t>: (1) 10/100/1000 Ethernet Port</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lang w:val="en-US"/>
        </w:rPr>
      </w:pPr>
      <w:proofErr w:type="spellStart"/>
      <w:r w:rsidRPr="00FF64A7">
        <w:rPr>
          <w:rFonts w:asciiTheme="minorHAnsi" w:hAnsiTheme="minorHAnsi"/>
          <w:sz w:val="22"/>
          <w:szCs w:val="22"/>
          <w:lang w:val="en-US"/>
        </w:rPr>
        <w:t>Przyciski</w:t>
      </w:r>
      <w:proofErr w:type="spellEnd"/>
      <w:r w:rsidRPr="00FF64A7">
        <w:rPr>
          <w:rFonts w:asciiTheme="minorHAnsi" w:hAnsiTheme="minorHAnsi"/>
          <w:sz w:val="22"/>
          <w:szCs w:val="22"/>
          <w:lang w:val="en-US"/>
        </w:rPr>
        <w:t>: (1) Power; (1) Reset</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lang w:val="en-US"/>
        </w:rPr>
      </w:pPr>
      <w:proofErr w:type="spellStart"/>
      <w:r w:rsidRPr="00FF64A7">
        <w:rPr>
          <w:rFonts w:asciiTheme="minorHAnsi" w:hAnsiTheme="minorHAnsi"/>
          <w:sz w:val="22"/>
          <w:szCs w:val="22"/>
          <w:lang w:val="en-US"/>
        </w:rPr>
        <w:t>Diody</w:t>
      </w:r>
      <w:proofErr w:type="spellEnd"/>
      <w:r w:rsidRPr="00FF64A7">
        <w:rPr>
          <w:rFonts w:asciiTheme="minorHAnsi" w:hAnsiTheme="minorHAnsi"/>
          <w:sz w:val="22"/>
          <w:szCs w:val="22"/>
          <w:lang w:val="en-US"/>
        </w:rPr>
        <w:t xml:space="preserve"> LED: (1) Power, White/Blue</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rPr>
      </w:pPr>
      <w:r w:rsidRPr="00FF64A7">
        <w:rPr>
          <w:rFonts w:asciiTheme="minorHAnsi" w:hAnsiTheme="minorHAnsi"/>
          <w:sz w:val="22"/>
          <w:szCs w:val="22"/>
        </w:rPr>
        <w:t>Rodzaje zasilania: Standard 802.3</w:t>
      </w:r>
      <w:proofErr w:type="gramStart"/>
      <w:r w:rsidRPr="00FF64A7">
        <w:rPr>
          <w:rFonts w:asciiTheme="minorHAnsi" w:hAnsiTheme="minorHAnsi"/>
          <w:sz w:val="22"/>
          <w:szCs w:val="22"/>
        </w:rPr>
        <w:t>af</w:t>
      </w:r>
      <w:proofErr w:type="gramEnd"/>
      <w:r w:rsidRPr="00FF64A7">
        <w:rPr>
          <w:rFonts w:asciiTheme="minorHAnsi" w:hAnsiTheme="minorHAnsi"/>
          <w:sz w:val="22"/>
          <w:szCs w:val="22"/>
        </w:rPr>
        <w:t xml:space="preserve"> </w:t>
      </w:r>
      <w:proofErr w:type="spellStart"/>
      <w:r w:rsidRPr="00FF64A7">
        <w:rPr>
          <w:rFonts w:asciiTheme="minorHAnsi" w:hAnsiTheme="minorHAnsi"/>
          <w:sz w:val="22"/>
          <w:szCs w:val="22"/>
        </w:rPr>
        <w:t>PoE</w:t>
      </w:r>
      <w:proofErr w:type="spellEnd"/>
      <w:r w:rsidRPr="00FF64A7">
        <w:rPr>
          <w:rFonts w:asciiTheme="minorHAnsi" w:hAnsiTheme="minorHAnsi"/>
          <w:sz w:val="22"/>
          <w:szCs w:val="22"/>
        </w:rPr>
        <w:t xml:space="preserve">; </w:t>
      </w:r>
      <w:proofErr w:type="spellStart"/>
      <w:r w:rsidRPr="00FF64A7">
        <w:rPr>
          <w:rFonts w:asciiTheme="minorHAnsi" w:hAnsiTheme="minorHAnsi"/>
          <w:sz w:val="22"/>
          <w:szCs w:val="22"/>
        </w:rPr>
        <w:t>Quick</w:t>
      </w:r>
      <w:proofErr w:type="spellEnd"/>
      <w:r w:rsidRPr="00FF64A7">
        <w:rPr>
          <w:rFonts w:asciiTheme="minorHAnsi" w:hAnsiTheme="minorHAnsi"/>
          <w:sz w:val="22"/>
          <w:szCs w:val="22"/>
        </w:rPr>
        <w:t xml:space="preserve"> </w:t>
      </w:r>
      <w:proofErr w:type="spellStart"/>
      <w:r w:rsidRPr="00FF64A7">
        <w:rPr>
          <w:rFonts w:asciiTheme="minorHAnsi" w:hAnsiTheme="minorHAnsi"/>
          <w:sz w:val="22"/>
          <w:szCs w:val="22"/>
        </w:rPr>
        <w:t>Charge</w:t>
      </w:r>
      <w:proofErr w:type="spellEnd"/>
      <w:r w:rsidRPr="00FF64A7">
        <w:rPr>
          <w:rFonts w:asciiTheme="minorHAnsi" w:hAnsiTheme="minorHAnsi"/>
          <w:sz w:val="22"/>
          <w:szCs w:val="22"/>
        </w:rPr>
        <w:t xml:space="preserve"> 2.0/3.0 Power Adapter (9VDC, 2A)</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rPr>
      </w:pPr>
      <w:r w:rsidRPr="00FF64A7">
        <w:rPr>
          <w:rFonts w:asciiTheme="minorHAnsi" w:hAnsiTheme="minorHAnsi"/>
          <w:sz w:val="22"/>
          <w:szCs w:val="22"/>
        </w:rPr>
        <w:t>Wspierany zakres zasilania: Standard 802.3</w:t>
      </w:r>
      <w:proofErr w:type="gramStart"/>
      <w:r w:rsidRPr="00FF64A7">
        <w:rPr>
          <w:rFonts w:asciiTheme="minorHAnsi" w:hAnsiTheme="minorHAnsi"/>
          <w:sz w:val="22"/>
          <w:szCs w:val="22"/>
        </w:rPr>
        <w:t>af</w:t>
      </w:r>
      <w:proofErr w:type="gramEnd"/>
      <w:r w:rsidRPr="00FF64A7">
        <w:rPr>
          <w:rFonts w:asciiTheme="minorHAnsi" w:hAnsiTheme="minorHAnsi"/>
          <w:sz w:val="22"/>
          <w:szCs w:val="22"/>
        </w:rPr>
        <w:t xml:space="preserve"> </w:t>
      </w:r>
      <w:proofErr w:type="spellStart"/>
      <w:r w:rsidRPr="00FF64A7">
        <w:rPr>
          <w:rFonts w:asciiTheme="minorHAnsi" w:hAnsiTheme="minorHAnsi"/>
          <w:sz w:val="22"/>
          <w:szCs w:val="22"/>
        </w:rPr>
        <w:t>PoE</w:t>
      </w:r>
      <w:proofErr w:type="spellEnd"/>
      <w:r w:rsidRPr="00FF64A7">
        <w:rPr>
          <w:rFonts w:asciiTheme="minorHAnsi" w:hAnsiTheme="minorHAnsi"/>
          <w:sz w:val="22"/>
          <w:szCs w:val="22"/>
        </w:rPr>
        <w:t xml:space="preserve"> lub 9VDC, 2A</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rPr>
      </w:pPr>
      <w:r w:rsidRPr="00FF64A7">
        <w:rPr>
          <w:rFonts w:asciiTheme="minorHAnsi" w:hAnsiTheme="minorHAnsi"/>
          <w:sz w:val="22"/>
          <w:szCs w:val="22"/>
        </w:rPr>
        <w:t>Pobór energii: 12.95W (</w:t>
      </w:r>
      <w:proofErr w:type="spellStart"/>
      <w:r w:rsidRPr="00FF64A7">
        <w:rPr>
          <w:rFonts w:asciiTheme="minorHAnsi" w:hAnsiTheme="minorHAnsi"/>
          <w:sz w:val="22"/>
          <w:szCs w:val="22"/>
        </w:rPr>
        <w:t>PoE</w:t>
      </w:r>
      <w:proofErr w:type="spellEnd"/>
      <w:r w:rsidRPr="00FF64A7">
        <w:rPr>
          <w:rFonts w:asciiTheme="minorHAnsi" w:hAnsiTheme="minorHAnsi"/>
          <w:sz w:val="22"/>
          <w:szCs w:val="22"/>
        </w:rPr>
        <w:t>); USB-C Power</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rPr>
      </w:pPr>
      <w:r w:rsidRPr="00FF64A7">
        <w:rPr>
          <w:rFonts w:asciiTheme="minorHAnsi" w:hAnsiTheme="minorHAnsi"/>
          <w:sz w:val="22"/>
          <w:szCs w:val="22"/>
        </w:rPr>
        <w:t>Zakres temperatur: 0 do 35° C</w:t>
      </w:r>
    </w:p>
    <w:p w:rsidR="00FF64A7" w:rsidRPr="00FF64A7" w:rsidRDefault="00FF64A7" w:rsidP="00FF64A7">
      <w:pPr>
        <w:pStyle w:val="Akapitzlist"/>
        <w:numPr>
          <w:ilvl w:val="0"/>
          <w:numId w:val="8"/>
        </w:numPr>
        <w:tabs>
          <w:tab w:val="left" w:pos="1080"/>
        </w:tabs>
        <w:spacing w:after="0"/>
        <w:rPr>
          <w:rFonts w:asciiTheme="minorHAnsi" w:hAnsiTheme="minorHAnsi"/>
          <w:sz w:val="22"/>
          <w:szCs w:val="22"/>
        </w:rPr>
      </w:pPr>
      <w:r w:rsidRPr="00FF64A7">
        <w:rPr>
          <w:rFonts w:asciiTheme="minorHAnsi" w:hAnsiTheme="minorHAnsi"/>
          <w:sz w:val="22"/>
          <w:szCs w:val="22"/>
        </w:rPr>
        <w:t xml:space="preserve">Wilgotność: 20 do 80% </w:t>
      </w:r>
      <w:proofErr w:type="spellStart"/>
      <w:r w:rsidRPr="00FF64A7">
        <w:rPr>
          <w:rFonts w:asciiTheme="minorHAnsi" w:hAnsiTheme="minorHAnsi"/>
          <w:sz w:val="22"/>
          <w:szCs w:val="22"/>
        </w:rPr>
        <w:t>Noncondensing</w:t>
      </w:r>
      <w:proofErr w:type="spellEnd"/>
    </w:p>
    <w:p w:rsidR="00FF64A7" w:rsidRPr="00FF64A7" w:rsidRDefault="00FF64A7" w:rsidP="00FF64A7">
      <w:pPr>
        <w:pStyle w:val="Akapitzlist"/>
        <w:numPr>
          <w:ilvl w:val="0"/>
          <w:numId w:val="8"/>
        </w:numPr>
        <w:tabs>
          <w:tab w:val="left" w:pos="1080"/>
        </w:tabs>
        <w:spacing w:after="0"/>
        <w:rPr>
          <w:rFonts w:asciiTheme="minorHAnsi" w:hAnsiTheme="minorHAnsi"/>
          <w:sz w:val="22"/>
          <w:szCs w:val="22"/>
          <w:lang w:val="en-US"/>
        </w:rPr>
      </w:pPr>
      <w:proofErr w:type="spellStart"/>
      <w:r w:rsidRPr="00FF64A7">
        <w:rPr>
          <w:rFonts w:asciiTheme="minorHAnsi" w:hAnsiTheme="minorHAnsi"/>
          <w:sz w:val="22"/>
          <w:szCs w:val="22"/>
          <w:lang w:val="en-US"/>
        </w:rPr>
        <w:t>Certyfikaty</w:t>
      </w:r>
      <w:proofErr w:type="spellEnd"/>
      <w:r w:rsidRPr="00FF64A7">
        <w:rPr>
          <w:rFonts w:asciiTheme="minorHAnsi" w:hAnsiTheme="minorHAnsi"/>
          <w:sz w:val="22"/>
          <w:szCs w:val="22"/>
          <w:lang w:val="en-US"/>
        </w:rPr>
        <w:t>: CE, FCC, IC</w:t>
      </w:r>
    </w:p>
    <w:p w:rsidR="00FF64A7" w:rsidRPr="00FF64A7" w:rsidRDefault="00FF64A7" w:rsidP="00FF64A7">
      <w:pPr>
        <w:tabs>
          <w:tab w:val="left" w:pos="1080"/>
        </w:tabs>
        <w:spacing w:after="0"/>
        <w:rPr>
          <w:rFonts w:asciiTheme="minorHAnsi" w:hAnsiTheme="minorHAnsi"/>
          <w:b/>
          <w:lang w:val="en-US"/>
        </w:rPr>
      </w:pPr>
      <w:r w:rsidRPr="00FF64A7">
        <w:rPr>
          <w:rFonts w:asciiTheme="minorHAnsi" w:hAnsiTheme="minorHAnsi"/>
          <w:b/>
          <w:lang w:val="en-US"/>
        </w:rPr>
        <w:t>HOT SPOT</w:t>
      </w:r>
      <w:r w:rsidRPr="00FF64A7">
        <w:rPr>
          <w:rFonts w:asciiTheme="minorHAnsi" w:hAnsiTheme="minorHAnsi"/>
          <w:b/>
          <w:lang w:val="en-US"/>
        </w:rPr>
        <w:tab/>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lang w:val="en-US"/>
        </w:rPr>
      </w:pPr>
      <w:r w:rsidRPr="00FF64A7">
        <w:rPr>
          <w:rFonts w:asciiTheme="minorHAnsi" w:hAnsiTheme="minorHAnsi"/>
          <w:sz w:val="22"/>
          <w:szCs w:val="22"/>
          <w:lang w:val="en-US"/>
        </w:rPr>
        <w:t>Port LAN: (2) 10/100/1000 Ethernet Port</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lang w:val="en-US"/>
        </w:rPr>
      </w:pPr>
      <w:proofErr w:type="spellStart"/>
      <w:r w:rsidRPr="00FF64A7">
        <w:rPr>
          <w:rFonts w:asciiTheme="minorHAnsi" w:hAnsiTheme="minorHAnsi"/>
          <w:sz w:val="22"/>
          <w:szCs w:val="22"/>
          <w:lang w:val="en-US"/>
        </w:rPr>
        <w:t>Przyciski</w:t>
      </w:r>
      <w:proofErr w:type="spellEnd"/>
      <w:r w:rsidRPr="00FF64A7">
        <w:rPr>
          <w:rFonts w:asciiTheme="minorHAnsi" w:hAnsiTheme="minorHAnsi"/>
          <w:sz w:val="22"/>
          <w:szCs w:val="22"/>
          <w:lang w:val="en-US"/>
        </w:rPr>
        <w:t>: Reset</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lastRenderedPageBreak/>
        <w:t>Antena: dwu-zakresowa, 4-polaryzacyjna, 2.4 GHz</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lang w:val="en-US"/>
        </w:rPr>
      </w:pPr>
      <w:r w:rsidRPr="00FF64A7">
        <w:rPr>
          <w:rFonts w:asciiTheme="minorHAnsi" w:hAnsiTheme="minorHAnsi"/>
          <w:sz w:val="22"/>
          <w:szCs w:val="22"/>
          <w:lang w:val="en-US"/>
        </w:rPr>
        <w:t xml:space="preserve">Standard </w:t>
      </w:r>
      <w:proofErr w:type="spellStart"/>
      <w:r w:rsidRPr="00FF64A7">
        <w:rPr>
          <w:rFonts w:asciiTheme="minorHAnsi" w:hAnsiTheme="minorHAnsi"/>
          <w:sz w:val="22"/>
          <w:szCs w:val="22"/>
          <w:lang w:val="en-US"/>
        </w:rPr>
        <w:t>WiFi</w:t>
      </w:r>
      <w:proofErr w:type="spellEnd"/>
      <w:r w:rsidRPr="00FF64A7">
        <w:rPr>
          <w:rFonts w:asciiTheme="minorHAnsi" w:hAnsiTheme="minorHAnsi"/>
          <w:sz w:val="22"/>
          <w:szCs w:val="22"/>
          <w:lang w:val="en-US"/>
        </w:rPr>
        <w:t>: 802.11 a/b/g/n/ac</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Zasilanie: POE 48V zgodne z 802.3</w:t>
      </w:r>
      <w:proofErr w:type="gramStart"/>
      <w:r w:rsidRPr="00FF64A7">
        <w:rPr>
          <w:rFonts w:asciiTheme="minorHAnsi" w:hAnsiTheme="minorHAnsi"/>
          <w:sz w:val="22"/>
          <w:szCs w:val="22"/>
        </w:rPr>
        <w:t>af</w:t>
      </w:r>
      <w:proofErr w:type="gramEnd"/>
      <w:r w:rsidRPr="00FF64A7">
        <w:rPr>
          <w:rFonts w:asciiTheme="minorHAnsi" w:hAnsiTheme="minorHAnsi"/>
          <w:sz w:val="22"/>
          <w:szCs w:val="22"/>
        </w:rPr>
        <w:t>/803.2</w:t>
      </w:r>
      <w:proofErr w:type="gramStart"/>
      <w:r w:rsidRPr="00FF64A7">
        <w:rPr>
          <w:rFonts w:asciiTheme="minorHAnsi" w:hAnsiTheme="minorHAnsi"/>
          <w:sz w:val="22"/>
          <w:szCs w:val="22"/>
        </w:rPr>
        <w:t>at</w:t>
      </w:r>
      <w:proofErr w:type="gramEnd"/>
      <w:r w:rsidRPr="00FF64A7">
        <w:rPr>
          <w:rFonts w:asciiTheme="minorHAnsi" w:hAnsiTheme="minorHAnsi"/>
          <w:sz w:val="22"/>
          <w:szCs w:val="22"/>
        </w:rPr>
        <w:t xml:space="preserve">, zasilacz </w:t>
      </w:r>
      <w:proofErr w:type="spellStart"/>
      <w:r w:rsidRPr="00FF64A7">
        <w:rPr>
          <w:rFonts w:asciiTheme="minorHAnsi" w:hAnsiTheme="minorHAnsi"/>
          <w:sz w:val="22"/>
          <w:szCs w:val="22"/>
        </w:rPr>
        <w:t>PoE</w:t>
      </w:r>
      <w:proofErr w:type="spellEnd"/>
      <w:r w:rsidRPr="00FF64A7">
        <w:rPr>
          <w:rFonts w:asciiTheme="minorHAnsi" w:hAnsiTheme="minorHAnsi"/>
          <w:sz w:val="22"/>
          <w:szCs w:val="22"/>
        </w:rPr>
        <w:t xml:space="preserve"> w komplecie</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Pobór mocy: 17W</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Moc nadawania 2,4GHz</w:t>
      </w:r>
      <w:r w:rsidRPr="00FF64A7">
        <w:rPr>
          <w:rFonts w:asciiTheme="minorHAnsi" w:hAnsiTheme="minorHAnsi"/>
          <w:sz w:val="22"/>
          <w:szCs w:val="22"/>
        </w:rPr>
        <w:tab/>
        <w:t>: 25dBm</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Moc nadawania 5GHz: 25dBm</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Pasmo: 2,4 oraz 5GHz</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SSID: do 8 na każde pasmo</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 xml:space="preserve">Zabezpieczenia </w:t>
      </w:r>
      <w:proofErr w:type="spellStart"/>
      <w:r w:rsidRPr="00FF64A7">
        <w:rPr>
          <w:rFonts w:asciiTheme="minorHAnsi" w:hAnsiTheme="minorHAnsi"/>
          <w:sz w:val="22"/>
          <w:szCs w:val="22"/>
        </w:rPr>
        <w:t>WiFi</w:t>
      </w:r>
      <w:proofErr w:type="spellEnd"/>
      <w:r w:rsidRPr="00FF64A7">
        <w:rPr>
          <w:rFonts w:asciiTheme="minorHAnsi" w:hAnsiTheme="minorHAnsi"/>
          <w:sz w:val="22"/>
          <w:szCs w:val="22"/>
        </w:rPr>
        <w:t>: WEP, WPA-PSK, WPA-Enterprise (WPA/WPA2, TKIP/AES)</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Certyfikaty: CE, FCC, IC</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Montaż: sufit/ściana (elementy montażowe w komplecie)</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Temperatura pracy: -10 to 70° C</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Wilgotność pracy: 5 - 95% (nieskondensowana)</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Obsługa VLAN: 802.1Q</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Liczba połączeń: powyżej 500</w:t>
      </w:r>
    </w:p>
    <w:p w:rsidR="00FF64A7" w:rsidRPr="00FF64A7" w:rsidRDefault="00FF64A7" w:rsidP="00FF64A7">
      <w:pPr>
        <w:pStyle w:val="Akapitzlist"/>
        <w:numPr>
          <w:ilvl w:val="0"/>
          <w:numId w:val="9"/>
        </w:numPr>
        <w:tabs>
          <w:tab w:val="left" w:pos="1080"/>
        </w:tabs>
        <w:spacing w:after="0"/>
        <w:rPr>
          <w:rFonts w:asciiTheme="minorHAnsi" w:hAnsiTheme="minorHAnsi"/>
          <w:sz w:val="22"/>
          <w:szCs w:val="22"/>
        </w:rPr>
      </w:pPr>
      <w:r w:rsidRPr="00FF64A7">
        <w:rPr>
          <w:rFonts w:asciiTheme="minorHAnsi" w:hAnsiTheme="minorHAnsi"/>
          <w:sz w:val="22"/>
          <w:szCs w:val="22"/>
        </w:rPr>
        <w:t xml:space="preserve">Prędkość: 6Mbps do 1700 </w:t>
      </w:r>
      <w:proofErr w:type="spellStart"/>
      <w:r w:rsidRPr="00FF64A7">
        <w:rPr>
          <w:rFonts w:asciiTheme="minorHAnsi" w:hAnsiTheme="minorHAnsi"/>
          <w:sz w:val="22"/>
          <w:szCs w:val="22"/>
        </w:rPr>
        <w:t>Mbps</w:t>
      </w:r>
      <w:proofErr w:type="spellEnd"/>
      <w:r w:rsidRPr="00FF64A7">
        <w:rPr>
          <w:rFonts w:asciiTheme="minorHAnsi" w:hAnsiTheme="minorHAnsi"/>
          <w:sz w:val="22"/>
          <w:szCs w:val="22"/>
        </w:rPr>
        <w:t xml:space="preserve"> (MCS0 - MCS9 NSS1/2/3/4, VHT 20/40/80)</w:t>
      </w:r>
    </w:p>
    <w:p w:rsidR="00FF64A7" w:rsidRPr="00FF64A7" w:rsidRDefault="00FF64A7" w:rsidP="00FF64A7">
      <w:pPr>
        <w:tabs>
          <w:tab w:val="left" w:pos="1080"/>
        </w:tabs>
        <w:spacing w:after="0"/>
        <w:rPr>
          <w:rFonts w:asciiTheme="minorHAnsi" w:hAnsiTheme="minorHAnsi"/>
          <w:b/>
        </w:rPr>
      </w:pPr>
      <w:r w:rsidRPr="00FF64A7">
        <w:rPr>
          <w:rFonts w:asciiTheme="minorHAnsi" w:hAnsiTheme="minorHAnsi"/>
          <w:b/>
        </w:rPr>
        <w:t xml:space="preserve">Switch </w:t>
      </w:r>
    </w:p>
    <w:p w:rsidR="00FF64A7" w:rsidRPr="00FF64A7" w:rsidRDefault="00FF64A7" w:rsidP="00FF64A7">
      <w:pPr>
        <w:pStyle w:val="Akapitzlist"/>
        <w:numPr>
          <w:ilvl w:val="0"/>
          <w:numId w:val="10"/>
        </w:numPr>
        <w:tabs>
          <w:tab w:val="left" w:pos="1080"/>
        </w:tabs>
        <w:spacing w:after="0" w:afterAutospacing="0"/>
        <w:rPr>
          <w:rFonts w:asciiTheme="minorHAnsi" w:hAnsiTheme="minorHAnsi"/>
          <w:sz w:val="22"/>
          <w:szCs w:val="22"/>
        </w:rPr>
      </w:pPr>
      <w:r w:rsidRPr="00FF64A7">
        <w:rPr>
          <w:rFonts w:asciiTheme="minorHAnsi" w:hAnsiTheme="minorHAnsi"/>
          <w:sz w:val="22"/>
          <w:szCs w:val="22"/>
        </w:rPr>
        <w:t xml:space="preserve">Rodzaj przełącznika: </w:t>
      </w:r>
      <w:proofErr w:type="spellStart"/>
      <w:r w:rsidRPr="00FF64A7">
        <w:rPr>
          <w:rFonts w:asciiTheme="minorHAnsi" w:hAnsiTheme="minorHAnsi"/>
          <w:sz w:val="22"/>
          <w:szCs w:val="22"/>
        </w:rPr>
        <w:t>zarządzalny</w:t>
      </w:r>
      <w:proofErr w:type="spellEnd"/>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Porty Gigabit: Tak</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Ilość portów 10/100: --</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Ilość portów 10/100/1000: 48</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Porty SFP: Tak</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Ilość portów SFP: 2</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 xml:space="preserve">Montaż </w:t>
      </w:r>
      <w:proofErr w:type="spellStart"/>
      <w:r w:rsidRPr="00FF64A7">
        <w:rPr>
          <w:rFonts w:asciiTheme="minorHAnsi" w:hAnsiTheme="minorHAnsi"/>
          <w:sz w:val="22"/>
          <w:szCs w:val="22"/>
        </w:rPr>
        <w:t>Rack</w:t>
      </w:r>
      <w:proofErr w:type="spellEnd"/>
      <w:r w:rsidRPr="00FF64A7">
        <w:rPr>
          <w:rFonts w:asciiTheme="minorHAnsi" w:hAnsiTheme="minorHAnsi"/>
          <w:sz w:val="22"/>
          <w:szCs w:val="22"/>
        </w:rPr>
        <w:t>: Tak</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Zasilanie: AC 230V</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proofErr w:type="spellStart"/>
      <w:r w:rsidRPr="00FF64A7">
        <w:rPr>
          <w:rFonts w:asciiTheme="minorHAnsi" w:hAnsiTheme="minorHAnsi"/>
          <w:sz w:val="22"/>
          <w:szCs w:val="22"/>
        </w:rPr>
        <w:t>Stackowanie</w:t>
      </w:r>
      <w:proofErr w:type="spellEnd"/>
      <w:r w:rsidRPr="00FF64A7">
        <w:rPr>
          <w:rFonts w:asciiTheme="minorHAnsi" w:hAnsiTheme="minorHAnsi"/>
          <w:sz w:val="22"/>
          <w:szCs w:val="22"/>
        </w:rPr>
        <w:t>: --</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 xml:space="preserve">Obsługa </w:t>
      </w:r>
      <w:proofErr w:type="spellStart"/>
      <w:r w:rsidRPr="00FF64A7">
        <w:rPr>
          <w:rFonts w:asciiTheme="minorHAnsi" w:hAnsiTheme="minorHAnsi"/>
          <w:sz w:val="22"/>
          <w:szCs w:val="22"/>
        </w:rPr>
        <w:t>multicast</w:t>
      </w:r>
      <w:proofErr w:type="spellEnd"/>
      <w:r w:rsidRPr="00FF64A7">
        <w:rPr>
          <w:rFonts w:asciiTheme="minorHAnsi" w:hAnsiTheme="minorHAnsi"/>
          <w:sz w:val="22"/>
          <w:szCs w:val="22"/>
        </w:rPr>
        <w:t>: IGMP v1 &amp; v2</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Warstwa przełączania: L2-L3</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Gwarancja przełącznika</w:t>
      </w:r>
      <w:r w:rsidRPr="00FF64A7">
        <w:rPr>
          <w:rFonts w:asciiTheme="minorHAnsi" w:hAnsiTheme="minorHAnsi"/>
          <w:sz w:val="22"/>
          <w:szCs w:val="22"/>
        </w:rPr>
        <w:tab/>
        <w:t>: 1 rok</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Wilgotność: 5 - 95%</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 xml:space="preserve">Wydajność: 26 </w:t>
      </w:r>
      <w:proofErr w:type="spellStart"/>
      <w:r w:rsidRPr="00FF64A7">
        <w:rPr>
          <w:rFonts w:asciiTheme="minorHAnsi" w:hAnsiTheme="minorHAnsi"/>
          <w:sz w:val="22"/>
          <w:szCs w:val="22"/>
        </w:rPr>
        <w:t>Gbps</w:t>
      </w:r>
      <w:proofErr w:type="spellEnd"/>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Rozmiar tablicy adresów MAC: 8000</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Lista kontroli dostępu (ACL): 100 (10 reguł na port)</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Pobór prądu: do 750W</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 xml:space="preserve">Temperatura </w:t>
      </w:r>
      <w:proofErr w:type="gramStart"/>
      <w:r w:rsidRPr="00FF64A7">
        <w:rPr>
          <w:rFonts w:asciiTheme="minorHAnsi" w:hAnsiTheme="minorHAnsi"/>
          <w:sz w:val="22"/>
          <w:szCs w:val="22"/>
        </w:rPr>
        <w:t xml:space="preserve">pracy : -5 </w:t>
      </w:r>
      <w:proofErr w:type="gramEnd"/>
      <w:r w:rsidRPr="00FF64A7">
        <w:rPr>
          <w:rFonts w:asciiTheme="minorHAnsi" w:hAnsiTheme="minorHAnsi"/>
          <w:sz w:val="22"/>
          <w:szCs w:val="22"/>
        </w:rPr>
        <w:t>do 40 °C</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 xml:space="preserve">Wymiary: 485.04 </w:t>
      </w:r>
      <w:proofErr w:type="gramStart"/>
      <w:r w:rsidRPr="00FF64A7">
        <w:rPr>
          <w:rFonts w:asciiTheme="minorHAnsi" w:hAnsiTheme="minorHAnsi"/>
          <w:sz w:val="22"/>
          <w:szCs w:val="22"/>
        </w:rPr>
        <w:t>x</w:t>
      </w:r>
      <w:proofErr w:type="gramEnd"/>
      <w:r w:rsidRPr="00FF64A7">
        <w:rPr>
          <w:rFonts w:asciiTheme="minorHAnsi" w:hAnsiTheme="minorHAnsi"/>
          <w:sz w:val="22"/>
          <w:szCs w:val="22"/>
        </w:rPr>
        <w:t xml:space="preserve"> 44.45 </w:t>
      </w:r>
      <w:proofErr w:type="gramStart"/>
      <w:r w:rsidRPr="00FF64A7">
        <w:rPr>
          <w:rFonts w:asciiTheme="minorHAnsi" w:hAnsiTheme="minorHAnsi"/>
          <w:sz w:val="22"/>
          <w:szCs w:val="22"/>
        </w:rPr>
        <w:t>x</w:t>
      </w:r>
      <w:proofErr w:type="gramEnd"/>
      <w:r w:rsidRPr="00FF64A7">
        <w:rPr>
          <w:rFonts w:asciiTheme="minorHAnsi" w:hAnsiTheme="minorHAnsi"/>
          <w:sz w:val="22"/>
          <w:szCs w:val="22"/>
        </w:rPr>
        <w:t xml:space="preserve"> 285.6 </w:t>
      </w:r>
      <w:proofErr w:type="gramStart"/>
      <w:r w:rsidRPr="00FF64A7">
        <w:rPr>
          <w:rFonts w:asciiTheme="minorHAnsi" w:hAnsiTheme="minorHAnsi"/>
          <w:sz w:val="22"/>
          <w:szCs w:val="22"/>
        </w:rPr>
        <w:t>mm</w:t>
      </w:r>
      <w:proofErr w:type="gramEnd"/>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Waga całkowita: 3700 g</w:t>
      </w:r>
    </w:p>
    <w:p w:rsidR="00FF64A7" w:rsidRPr="00FF64A7" w:rsidRDefault="00FF64A7" w:rsidP="00FF64A7">
      <w:pPr>
        <w:pStyle w:val="Akapitzlist"/>
        <w:numPr>
          <w:ilvl w:val="0"/>
          <w:numId w:val="10"/>
        </w:numPr>
        <w:tabs>
          <w:tab w:val="left" w:pos="1080"/>
        </w:tabs>
        <w:spacing w:after="0"/>
        <w:rPr>
          <w:rFonts w:asciiTheme="minorHAnsi" w:hAnsiTheme="minorHAnsi"/>
          <w:sz w:val="22"/>
          <w:szCs w:val="22"/>
        </w:rPr>
      </w:pPr>
      <w:r w:rsidRPr="00FF64A7">
        <w:rPr>
          <w:rFonts w:asciiTheme="minorHAnsi" w:hAnsiTheme="minorHAnsi"/>
          <w:sz w:val="22"/>
          <w:szCs w:val="22"/>
        </w:rPr>
        <w:t xml:space="preserve">Obudowa: </w:t>
      </w:r>
      <w:proofErr w:type="spellStart"/>
      <w:r w:rsidRPr="00FF64A7">
        <w:rPr>
          <w:rFonts w:asciiTheme="minorHAnsi" w:hAnsiTheme="minorHAnsi"/>
          <w:sz w:val="22"/>
          <w:szCs w:val="22"/>
        </w:rPr>
        <w:t>rack</w:t>
      </w:r>
      <w:proofErr w:type="spellEnd"/>
    </w:p>
    <w:p w:rsidR="00FF64A7" w:rsidRDefault="00FF64A7" w:rsidP="00FF64A7">
      <w:pPr>
        <w:pStyle w:val="Akapitzlist"/>
        <w:numPr>
          <w:ilvl w:val="0"/>
          <w:numId w:val="10"/>
        </w:numPr>
        <w:tabs>
          <w:tab w:val="left" w:pos="1080"/>
        </w:tabs>
        <w:spacing w:before="0" w:beforeAutospacing="0" w:after="0" w:afterAutospacing="0"/>
        <w:rPr>
          <w:rFonts w:asciiTheme="minorHAnsi" w:hAnsiTheme="minorHAnsi"/>
          <w:sz w:val="22"/>
          <w:szCs w:val="22"/>
        </w:rPr>
      </w:pPr>
      <w:r>
        <w:rPr>
          <w:rFonts w:asciiTheme="minorHAnsi" w:hAnsiTheme="minorHAnsi"/>
          <w:sz w:val="22"/>
          <w:szCs w:val="22"/>
        </w:rPr>
        <w:t xml:space="preserve">Gwarancja: </w:t>
      </w:r>
      <w:r w:rsidRPr="00FF64A7">
        <w:rPr>
          <w:rFonts w:asciiTheme="minorHAnsi" w:hAnsiTheme="minorHAnsi"/>
          <w:sz w:val="22"/>
          <w:szCs w:val="22"/>
        </w:rPr>
        <w:t>24 m-</w:t>
      </w:r>
      <w:proofErr w:type="spellStart"/>
      <w:r w:rsidRPr="00FF64A7">
        <w:rPr>
          <w:rFonts w:asciiTheme="minorHAnsi" w:hAnsiTheme="minorHAnsi"/>
          <w:sz w:val="22"/>
          <w:szCs w:val="22"/>
        </w:rPr>
        <w:t>cy</w:t>
      </w:r>
      <w:proofErr w:type="spellEnd"/>
    </w:p>
    <w:p w:rsidR="00FF64A7" w:rsidRDefault="00FF64A7" w:rsidP="00FF64A7">
      <w:pPr>
        <w:tabs>
          <w:tab w:val="left" w:pos="1080"/>
        </w:tabs>
        <w:spacing w:after="0"/>
        <w:ind w:left="113"/>
        <w:rPr>
          <w:rFonts w:asciiTheme="minorHAnsi" w:hAnsiTheme="minorHAnsi" w:cs="Arial"/>
          <w:b/>
        </w:rPr>
      </w:pPr>
      <w:r w:rsidRPr="00FF64A7">
        <w:rPr>
          <w:rFonts w:asciiTheme="minorHAnsi" w:hAnsiTheme="minorHAnsi" w:cs="Arial"/>
          <w:b/>
        </w:rPr>
        <w:t>Odpowiedź:</w:t>
      </w:r>
    </w:p>
    <w:p w:rsidR="00FF64A7" w:rsidRDefault="00AB64F2" w:rsidP="00D36E40">
      <w:pPr>
        <w:tabs>
          <w:tab w:val="left" w:pos="1080"/>
        </w:tabs>
        <w:spacing w:after="0"/>
        <w:ind w:left="113"/>
        <w:rPr>
          <w:rFonts w:asciiTheme="minorHAnsi" w:hAnsiTheme="minorHAnsi"/>
        </w:rPr>
      </w:pPr>
      <w:r w:rsidRPr="00AB64F2">
        <w:rPr>
          <w:rFonts w:asciiTheme="minorHAnsi" w:hAnsiTheme="minorHAnsi" w:cs="Arial"/>
        </w:rPr>
        <w:t>Zama</w:t>
      </w:r>
      <w:r>
        <w:rPr>
          <w:rFonts w:asciiTheme="minorHAnsi" w:hAnsiTheme="minorHAnsi" w:cs="Arial"/>
        </w:rPr>
        <w:t>wiają</w:t>
      </w:r>
      <w:r w:rsidRPr="00AB64F2">
        <w:rPr>
          <w:rFonts w:asciiTheme="minorHAnsi" w:hAnsiTheme="minorHAnsi" w:cs="Arial"/>
        </w:rPr>
        <w:t>cy nie dopuszcza urządzeń o podanych parametrach.</w:t>
      </w:r>
    </w:p>
    <w:p w:rsidR="00FF64A7" w:rsidRDefault="00FF64A7" w:rsidP="00275209">
      <w:pPr>
        <w:autoSpaceDE w:val="0"/>
        <w:autoSpaceDN w:val="0"/>
        <w:adjustRightInd w:val="0"/>
        <w:spacing w:after="0"/>
        <w:rPr>
          <w:rFonts w:asciiTheme="minorHAnsi" w:hAnsiTheme="minorHAnsi" w:cs="Calibri"/>
          <w:b/>
          <w:bCs/>
        </w:rPr>
      </w:pPr>
    </w:p>
    <w:p w:rsidR="003075C5" w:rsidRDefault="003E6623" w:rsidP="00814504">
      <w:pPr>
        <w:spacing w:after="120" w:line="240" w:lineRule="auto"/>
        <w:jc w:val="both"/>
        <w:rPr>
          <w:rFonts w:asciiTheme="minorHAnsi" w:hAnsiTheme="minorHAnsi" w:cs="Calibri"/>
          <w:b/>
        </w:rPr>
      </w:pPr>
      <w:r>
        <w:rPr>
          <w:rFonts w:asciiTheme="minorHAnsi" w:hAnsiTheme="minorHAnsi" w:cs="Calibri"/>
          <w:b/>
        </w:rPr>
        <w:t>Niniejsze odpowiedzi na pytania</w:t>
      </w:r>
      <w:r w:rsidR="00971C71" w:rsidRPr="00433C6B">
        <w:rPr>
          <w:rFonts w:asciiTheme="minorHAnsi" w:hAnsiTheme="minorHAnsi" w:cs="Calibri"/>
          <w:b/>
        </w:rPr>
        <w:t xml:space="preserve"> stano</w:t>
      </w:r>
      <w:r>
        <w:rPr>
          <w:rFonts w:asciiTheme="minorHAnsi" w:hAnsiTheme="minorHAnsi" w:cs="Calibri"/>
          <w:b/>
        </w:rPr>
        <w:t>wi integralną część SIWZ i stają się wiążące</w:t>
      </w:r>
      <w:r w:rsidR="00971C71" w:rsidRPr="00433C6B">
        <w:rPr>
          <w:rFonts w:asciiTheme="minorHAnsi" w:hAnsiTheme="minorHAnsi" w:cs="Calibri"/>
          <w:b/>
        </w:rPr>
        <w:t xml:space="preserve"> dla Wykonawców przy opracowywaniu ofert. </w:t>
      </w:r>
    </w:p>
    <w:p w:rsidR="00F61E41" w:rsidRPr="00814504" w:rsidRDefault="00F61E41" w:rsidP="00814504">
      <w:pPr>
        <w:spacing w:after="120" w:line="240" w:lineRule="auto"/>
        <w:jc w:val="both"/>
        <w:rPr>
          <w:rFonts w:asciiTheme="minorHAnsi" w:hAnsiTheme="minorHAnsi" w:cs="Calibri"/>
          <w:b/>
        </w:rPr>
      </w:pPr>
      <w:bookmarkStart w:id="0" w:name="_GoBack"/>
      <w:bookmarkEnd w:id="0"/>
    </w:p>
    <w:p w:rsidR="003075C5" w:rsidRDefault="003075C5" w:rsidP="00814504">
      <w:pPr>
        <w:tabs>
          <w:tab w:val="left" w:pos="1080"/>
        </w:tabs>
        <w:jc w:val="center"/>
        <w:rPr>
          <w:rFonts w:ascii="Times New Roman" w:hAnsi="Times New Roman"/>
          <w:sz w:val="20"/>
          <w:szCs w:val="20"/>
        </w:rPr>
      </w:pPr>
      <w:r>
        <w:rPr>
          <w:rFonts w:ascii="Times New Roman" w:hAnsi="Times New Roman"/>
          <w:sz w:val="20"/>
          <w:szCs w:val="20"/>
        </w:rPr>
        <w:t xml:space="preserve">                                                                                            Przewodniczący Komisji Przetargowej</w:t>
      </w:r>
    </w:p>
    <w:p w:rsidR="003075C5" w:rsidRPr="007A33D3" w:rsidRDefault="003075C5" w:rsidP="003075C5">
      <w:pPr>
        <w:tabs>
          <w:tab w:val="left" w:pos="1080"/>
        </w:tabs>
        <w:jc w:val="center"/>
        <w:rPr>
          <w:rFonts w:ascii="Times New Roman" w:hAnsi="Times New Roman"/>
          <w:sz w:val="20"/>
          <w:szCs w:val="20"/>
        </w:rPr>
      </w:pPr>
      <w:r>
        <w:rPr>
          <w:rFonts w:ascii="Times New Roman" w:hAnsi="Times New Roman"/>
          <w:sz w:val="20"/>
          <w:szCs w:val="20"/>
        </w:rPr>
        <w:t xml:space="preserve">                                                                                             </w:t>
      </w:r>
      <w:r w:rsidRPr="007A33D3">
        <w:rPr>
          <w:rFonts w:ascii="Times New Roman" w:hAnsi="Times New Roman"/>
          <w:sz w:val="20"/>
          <w:szCs w:val="20"/>
        </w:rPr>
        <w:t xml:space="preserve">    Cezary Kozioł</w:t>
      </w:r>
    </w:p>
    <w:p w:rsidR="00971C71" w:rsidRPr="00EF2457" w:rsidRDefault="00971C71" w:rsidP="00017D63">
      <w:pPr>
        <w:pStyle w:val="msolistparagraph0"/>
        <w:spacing w:before="0" w:beforeAutospacing="0" w:after="0" w:afterAutospacing="0"/>
        <w:jc w:val="both"/>
        <w:rPr>
          <w:rFonts w:ascii="Calibri" w:hAnsi="Calibri" w:cs="Calibri"/>
          <w:b/>
          <w:bCs/>
        </w:rPr>
      </w:pPr>
    </w:p>
    <w:sectPr w:rsidR="00971C71" w:rsidRPr="00EF2457" w:rsidSect="00433C6B">
      <w:headerReference w:type="default" r:id="rId8"/>
      <w:footerReference w:type="default" r:id="rId9"/>
      <w:pgSz w:w="11906" w:h="16838" w:code="9"/>
      <w:pgMar w:top="1134" w:right="1134" w:bottom="851"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71" w:rsidRDefault="00971C71" w:rsidP="00DF0A79">
      <w:pPr>
        <w:spacing w:after="0" w:line="240" w:lineRule="auto"/>
      </w:pPr>
      <w:r>
        <w:separator/>
      </w:r>
    </w:p>
  </w:endnote>
  <w:endnote w:type="continuationSeparator" w:id="0">
    <w:p w:rsidR="00971C71" w:rsidRDefault="00971C71" w:rsidP="00DF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6B" w:rsidRPr="00433C6B" w:rsidRDefault="00433C6B" w:rsidP="00433C6B">
    <w:pPr>
      <w:pStyle w:val="Standard"/>
      <w:spacing w:line="240" w:lineRule="auto"/>
      <w:jc w:val="center"/>
      <w:rPr>
        <w:rFonts w:ascii="Calibri" w:hAnsi="Calibri"/>
        <w:szCs w:val="22"/>
      </w:rPr>
    </w:pPr>
    <w:r w:rsidRPr="00433C6B">
      <w:rPr>
        <w:rFonts w:ascii="Calibri" w:hAnsi="Calibri"/>
        <w:szCs w:val="22"/>
      </w:rPr>
      <w:t>Projekt pn. „Informatyzacja Placówek Medycznych Województwa Świętokrzyskiego” (</w:t>
    </w:r>
    <w:proofErr w:type="spellStart"/>
    <w:r w:rsidRPr="00433C6B">
      <w:rPr>
        <w:rFonts w:ascii="Calibri" w:hAnsi="Calibri"/>
        <w:szCs w:val="22"/>
      </w:rPr>
      <w:t>InPlaMed</w:t>
    </w:r>
    <w:proofErr w:type="spellEnd"/>
    <w:r w:rsidRPr="00433C6B">
      <w:rPr>
        <w:rFonts w:ascii="Calibri" w:hAnsi="Calibri"/>
        <w:szCs w:val="22"/>
      </w:rPr>
      <w:t xml:space="preserve"> WŚ)</w:t>
    </w:r>
  </w:p>
  <w:p w:rsidR="00433C6B" w:rsidRPr="00433C6B" w:rsidRDefault="00433C6B" w:rsidP="00433C6B">
    <w:pPr>
      <w:pStyle w:val="Standard"/>
      <w:tabs>
        <w:tab w:val="left" w:pos="5295"/>
      </w:tabs>
      <w:spacing w:line="240" w:lineRule="auto"/>
      <w:jc w:val="center"/>
      <w:rPr>
        <w:rFonts w:ascii="Calibri" w:hAnsi="Calibri"/>
        <w:szCs w:val="22"/>
      </w:rPr>
    </w:pPr>
    <w:proofErr w:type="gramStart"/>
    <w:r w:rsidRPr="00433C6B">
      <w:rPr>
        <w:rFonts w:ascii="Calibri" w:hAnsi="Calibri"/>
        <w:szCs w:val="22"/>
      </w:rPr>
      <w:t>realizowany</w:t>
    </w:r>
    <w:proofErr w:type="gramEnd"/>
    <w:r w:rsidRPr="00433C6B">
      <w:rPr>
        <w:rFonts w:ascii="Calibri" w:hAnsi="Calibri"/>
        <w:szCs w:val="22"/>
      </w:rPr>
      <w:t xml:space="preserve"> w ramach RPOWŚ na lata 2014-2020</w:t>
    </w:r>
  </w:p>
  <w:p w:rsidR="00433C6B" w:rsidRPr="00433C6B" w:rsidRDefault="00433C6B" w:rsidP="00433C6B">
    <w:pPr>
      <w:pStyle w:val="Stopka"/>
      <w:jc w:val="center"/>
      <w:rPr>
        <w:rFonts w:cs="Calibri"/>
        <w:sz w:val="16"/>
        <w:szCs w:val="16"/>
      </w:rPr>
    </w:pPr>
    <w:r w:rsidRPr="00433C6B">
      <w:rPr>
        <w:rFonts w:cs="Calibri"/>
        <w:sz w:val="16"/>
        <w:szCs w:val="16"/>
      </w:rPr>
      <w:fldChar w:fldCharType="begin"/>
    </w:r>
    <w:r w:rsidRPr="00433C6B">
      <w:rPr>
        <w:rFonts w:cs="Calibri"/>
        <w:sz w:val="16"/>
        <w:szCs w:val="16"/>
      </w:rPr>
      <w:instrText>PAGE   \* MERGEFORMAT</w:instrText>
    </w:r>
    <w:r w:rsidRPr="00433C6B">
      <w:rPr>
        <w:rFonts w:cs="Calibri"/>
        <w:sz w:val="16"/>
        <w:szCs w:val="16"/>
      </w:rPr>
      <w:fldChar w:fldCharType="separate"/>
    </w:r>
    <w:r w:rsidR="00F61E41">
      <w:rPr>
        <w:rFonts w:cs="Calibri"/>
        <w:noProof/>
        <w:sz w:val="16"/>
        <w:szCs w:val="16"/>
      </w:rPr>
      <w:t>3</w:t>
    </w:r>
    <w:r w:rsidRPr="00433C6B">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71" w:rsidRDefault="00971C71" w:rsidP="00DF0A79">
      <w:pPr>
        <w:spacing w:after="0" w:line="240" w:lineRule="auto"/>
      </w:pPr>
      <w:r>
        <w:separator/>
      </w:r>
    </w:p>
  </w:footnote>
  <w:footnote w:type="continuationSeparator" w:id="0">
    <w:p w:rsidR="00971C71" w:rsidRDefault="00971C71" w:rsidP="00DF0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71" w:rsidRDefault="00964703" w:rsidP="001E2771">
    <w:pPr>
      <w:pStyle w:val="Nagwek"/>
      <w:tabs>
        <w:tab w:val="clear" w:pos="9072"/>
        <w:tab w:val="left" w:pos="9630"/>
      </w:tabs>
      <w:jc w:val="center"/>
      <w:rPr>
        <w:rFonts w:cs="Calibri"/>
      </w:rPr>
    </w:pPr>
    <w:r>
      <w:rPr>
        <w:noProof/>
        <w:lang w:eastAsia="pl-PL"/>
      </w:rPr>
      <w:drawing>
        <wp:inline distT="0" distB="0" distL="0" distR="0">
          <wp:extent cx="5669280" cy="516890"/>
          <wp:effectExtent l="0" t="0" r="7620" b="0"/>
          <wp:docPr id="1" name="Obraz 4" descr="Znak Funduszy Europejskich (FE) złożony z symbolu graficznego, nazwy Fundusze Europejskie oraz nazwy programu, z którego w części lub w całości finansowany jest  projektZnak barw Rzeczypospolitej Polskiej (znak barw RP) złożony z barw RP oraz nazwy „Rzeczpospolita Polska”Znak godło Województwa ŚwiętokrzyskiegoZnak Unii Europejskiej (UE) 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k Funduszy Europejskich (FE) złożony z symbolu graficznego, nazwy Fundusze Europejskie oraz nazwy programu, z którego w części lub w całości finansowany jest  projektZnak barw Rzeczypospolitej Polskiej (znak barw RP) złożony z barw RP oraz nazwy „Rzeczpospolita Polska”Znak godło Województwa ŚwiętokrzyskiegoZnak Unii Europejskiej (UE) złożony z flagi UE, napisu Unia Europejska i nazwy funduszu, który współfinansuje projek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516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DF5"/>
    <w:multiLevelType w:val="hybridMultilevel"/>
    <w:tmpl w:val="03981C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E0019C9"/>
    <w:multiLevelType w:val="hybridMultilevel"/>
    <w:tmpl w:val="FD3A3EB0"/>
    <w:lvl w:ilvl="0" w:tplc="1A44EC12">
      <w:start w:val="1"/>
      <w:numFmt w:val="decimal"/>
      <w:lvlText w:val="%1."/>
      <w:lvlJc w:val="left"/>
      <w:pPr>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547E66"/>
    <w:multiLevelType w:val="hybridMultilevel"/>
    <w:tmpl w:val="B8A075B6"/>
    <w:lvl w:ilvl="0" w:tplc="4EFA4B06">
      <w:start w:val="1"/>
      <w:numFmt w:val="lowerLetter"/>
      <w:lvlText w:val="%1)"/>
      <w:lvlJc w:val="left"/>
      <w:pPr>
        <w:tabs>
          <w:tab w:val="num" w:pos="851"/>
        </w:tabs>
        <w:ind w:left="851" w:hanging="426"/>
      </w:pPr>
      <w:rPr>
        <w:rFonts w:cs="Times New Roman" w:hint="default"/>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
    <w:nsid w:val="43031410"/>
    <w:multiLevelType w:val="hybridMultilevel"/>
    <w:tmpl w:val="7CA2DAA4"/>
    <w:lvl w:ilvl="0" w:tplc="8438E760">
      <w:start w:val="1"/>
      <w:numFmt w:val="decimal"/>
      <w:lvlText w:val="%1."/>
      <w:lvlJc w:val="left"/>
      <w:pPr>
        <w:ind w:left="454" w:hanging="341"/>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7252A3"/>
    <w:multiLevelType w:val="hybridMultilevel"/>
    <w:tmpl w:val="1DF232CC"/>
    <w:lvl w:ilvl="0" w:tplc="A7480D06">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E107C6"/>
    <w:multiLevelType w:val="hybridMultilevel"/>
    <w:tmpl w:val="0448BA5C"/>
    <w:lvl w:ilvl="0" w:tplc="F92A8A10">
      <w:start w:val="1"/>
      <w:numFmt w:val="decimal"/>
      <w:lvlText w:val="%1)"/>
      <w:lvlJc w:val="left"/>
      <w:pPr>
        <w:ind w:left="1713" w:hanging="360"/>
      </w:pPr>
      <w:rPr>
        <w:rFonts w:cs="Times New Roman"/>
        <w:b w:val="0"/>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6">
    <w:nsid w:val="5D526F1D"/>
    <w:multiLevelType w:val="hybridMultilevel"/>
    <w:tmpl w:val="E7C2B828"/>
    <w:lvl w:ilvl="0" w:tplc="71D0ADB4">
      <w:start w:val="1"/>
      <w:numFmt w:val="lowerLetter"/>
      <w:lvlText w:val="%1)"/>
      <w:lvlJc w:val="left"/>
      <w:pPr>
        <w:ind w:left="2421" w:hanging="360"/>
      </w:pPr>
      <w:rPr>
        <w:rFonts w:ascii="Calibri" w:hAnsi="Calibri" w:cs="Calibri" w:hint="default"/>
        <w:sz w:val="16"/>
        <w:szCs w:val="16"/>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7">
    <w:nsid w:val="68C5222B"/>
    <w:multiLevelType w:val="hybridMultilevel"/>
    <w:tmpl w:val="44E42D82"/>
    <w:lvl w:ilvl="0" w:tplc="A79446FA">
      <w:start w:val="1"/>
      <w:numFmt w:val="bullet"/>
      <w:lvlText w:val=""/>
      <w:lvlJc w:val="left"/>
      <w:pPr>
        <w:ind w:left="340"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D174998"/>
    <w:multiLevelType w:val="hybridMultilevel"/>
    <w:tmpl w:val="52A4D412"/>
    <w:lvl w:ilvl="0" w:tplc="7A1CF548">
      <w:start w:val="1"/>
      <w:numFmt w:val="decimal"/>
      <w:lvlText w:val="%1."/>
      <w:lvlJc w:val="left"/>
      <w:pPr>
        <w:ind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9">
    <w:nsid w:val="6F682FCD"/>
    <w:multiLevelType w:val="hybridMultilevel"/>
    <w:tmpl w:val="FEF6AC20"/>
    <w:lvl w:ilvl="0" w:tplc="1F0A34E2">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3140C3A"/>
    <w:multiLevelType w:val="hybridMultilevel"/>
    <w:tmpl w:val="2E4C62F2"/>
    <w:lvl w:ilvl="0" w:tplc="3008EEEA">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8"/>
  </w:num>
  <w:num w:numId="6">
    <w:abstractNumId w:val="9"/>
  </w:num>
  <w:num w:numId="7">
    <w:abstractNumId w:val="3"/>
  </w:num>
  <w:num w:numId="8">
    <w:abstractNumId w:val="1"/>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79"/>
    <w:rsid w:val="00014DED"/>
    <w:rsid w:val="00017D63"/>
    <w:rsid w:val="00021DAF"/>
    <w:rsid w:val="000627CB"/>
    <w:rsid w:val="00067922"/>
    <w:rsid w:val="00087D13"/>
    <w:rsid w:val="000C1CC4"/>
    <w:rsid w:val="0010566E"/>
    <w:rsid w:val="00133DE9"/>
    <w:rsid w:val="00146FE5"/>
    <w:rsid w:val="0016564C"/>
    <w:rsid w:val="001C2E22"/>
    <w:rsid w:val="001C63CF"/>
    <w:rsid w:val="001E14B3"/>
    <w:rsid w:val="001E2771"/>
    <w:rsid w:val="001E5925"/>
    <w:rsid w:val="001E5CEA"/>
    <w:rsid w:val="001F4479"/>
    <w:rsid w:val="0020111B"/>
    <w:rsid w:val="00213100"/>
    <w:rsid w:val="002560CE"/>
    <w:rsid w:val="00275209"/>
    <w:rsid w:val="002B67E4"/>
    <w:rsid w:val="002C1EEE"/>
    <w:rsid w:val="002E61EF"/>
    <w:rsid w:val="002F60F0"/>
    <w:rsid w:val="003075C5"/>
    <w:rsid w:val="00312BD9"/>
    <w:rsid w:val="00321BDA"/>
    <w:rsid w:val="00327AAA"/>
    <w:rsid w:val="003B7E72"/>
    <w:rsid w:val="003C622A"/>
    <w:rsid w:val="003E6623"/>
    <w:rsid w:val="00414F1A"/>
    <w:rsid w:val="00433C6B"/>
    <w:rsid w:val="00451521"/>
    <w:rsid w:val="00482596"/>
    <w:rsid w:val="004A5964"/>
    <w:rsid w:val="004F372A"/>
    <w:rsid w:val="00507D5C"/>
    <w:rsid w:val="00551AB0"/>
    <w:rsid w:val="00552E32"/>
    <w:rsid w:val="00557B05"/>
    <w:rsid w:val="00557B9F"/>
    <w:rsid w:val="00571998"/>
    <w:rsid w:val="00572C2A"/>
    <w:rsid w:val="00576560"/>
    <w:rsid w:val="005873FE"/>
    <w:rsid w:val="005B3F2D"/>
    <w:rsid w:val="005C68C1"/>
    <w:rsid w:val="005D4418"/>
    <w:rsid w:val="00603078"/>
    <w:rsid w:val="00610860"/>
    <w:rsid w:val="00613641"/>
    <w:rsid w:val="0064730E"/>
    <w:rsid w:val="00687FD2"/>
    <w:rsid w:val="006917E5"/>
    <w:rsid w:val="00695EC4"/>
    <w:rsid w:val="006B194A"/>
    <w:rsid w:val="006B7F11"/>
    <w:rsid w:val="006C7E35"/>
    <w:rsid w:val="006E7D63"/>
    <w:rsid w:val="006F6F42"/>
    <w:rsid w:val="00722965"/>
    <w:rsid w:val="0074609B"/>
    <w:rsid w:val="0076520B"/>
    <w:rsid w:val="00773488"/>
    <w:rsid w:val="007C0094"/>
    <w:rsid w:val="007C04FD"/>
    <w:rsid w:val="007C2E86"/>
    <w:rsid w:val="007E1C6E"/>
    <w:rsid w:val="00800E8F"/>
    <w:rsid w:val="00813612"/>
    <w:rsid w:val="00814504"/>
    <w:rsid w:val="00820032"/>
    <w:rsid w:val="008878B0"/>
    <w:rsid w:val="008C70ED"/>
    <w:rsid w:val="008C7C91"/>
    <w:rsid w:val="00942C2E"/>
    <w:rsid w:val="00964703"/>
    <w:rsid w:val="00971C71"/>
    <w:rsid w:val="009945A5"/>
    <w:rsid w:val="009C407C"/>
    <w:rsid w:val="00A42B35"/>
    <w:rsid w:val="00A50650"/>
    <w:rsid w:val="00A60045"/>
    <w:rsid w:val="00A62A22"/>
    <w:rsid w:val="00A76CBB"/>
    <w:rsid w:val="00A90956"/>
    <w:rsid w:val="00AA09B2"/>
    <w:rsid w:val="00AA5572"/>
    <w:rsid w:val="00AB64F2"/>
    <w:rsid w:val="00AB69C7"/>
    <w:rsid w:val="00AE2D9D"/>
    <w:rsid w:val="00AE478D"/>
    <w:rsid w:val="00B04B81"/>
    <w:rsid w:val="00B079A8"/>
    <w:rsid w:val="00B1069E"/>
    <w:rsid w:val="00B125AD"/>
    <w:rsid w:val="00B47B5C"/>
    <w:rsid w:val="00B620A3"/>
    <w:rsid w:val="00B62D2F"/>
    <w:rsid w:val="00B64912"/>
    <w:rsid w:val="00B953B7"/>
    <w:rsid w:val="00BD472D"/>
    <w:rsid w:val="00BD4F5E"/>
    <w:rsid w:val="00BF1C79"/>
    <w:rsid w:val="00C32AE1"/>
    <w:rsid w:val="00C36684"/>
    <w:rsid w:val="00CA37B1"/>
    <w:rsid w:val="00CA6350"/>
    <w:rsid w:val="00CA68D1"/>
    <w:rsid w:val="00CB2590"/>
    <w:rsid w:val="00CE2270"/>
    <w:rsid w:val="00D257FA"/>
    <w:rsid w:val="00D36E40"/>
    <w:rsid w:val="00D66CB4"/>
    <w:rsid w:val="00D84D0D"/>
    <w:rsid w:val="00D851FC"/>
    <w:rsid w:val="00DA596F"/>
    <w:rsid w:val="00DC20BE"/>
    <w:rsid w:val="00DD0448"/>
    <w:rsid w:val="00DE20A6"/>
    <w:rsid w:val="00DF0A79"/>
    <w:rsid w:val="00E13877"/>
    <w:rsid w:val="00E22DBD"/>
    <w:rsid w:val="00E34576"/>
    <w:rsid w:val="00E537FB"/>
    <w:rsid w:val="00E75F95"/>
    <w:rsid w:val="00E91FB1"/>
    <w:rsid w:val="00EB082C"/>
    <w:rsid w:val="00EC519A"/>
    <w:rsid w:val="00ED43B2"/>
    <w:rsid w:val="00ED7411"/>
    <w:rsid w:val="00EF2457"/>
    <w:rsid w:val="00F23F7D"/>
    <w:rsid w:val="00F329B6"/>
    <w:rsid w:val="00F33523"/>
    <w:rsid w:val="00F61E41"/>
    <w:rsid w:val="00FA1AC1"/>
    <w:rsid w:val="00FA334C"/>
    <w:rsid w:val="00FA4834"/>
    <w:rsid w:val="00FD1B8D"/>
    <w:rsid w:val="00FD5A9F"/>
    <w:rsid w:val="00FD5ED6"/>
    <w:rsid w:val="00FF1B4C"/>
    <w:rsid w:val="00FF6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A79"/>
    <w:pPr>
      <w:spacing w:after="200" w:line="276" w:lineRule="auto"/>
    </w:pPr>
    <w:rPr>
      <w:rFonts w:eastAsia="Times New Roman"/>
      <w:lang w:eastAsia="en-US"/>
    </w:rPr>
  </w:style>
  <w:style w:type="paragraph" w:styleId="Nagwek3">
    <w:name w:val="heading 3"/>
    <w:basedOn w:val="Normalny"/>
    <w:next w:val="Normalny"/>
    <w:link w:val="Nagwek3Znak"/>
    <w:qFormat/>
    <w:locked/>
    <w:rsid w:val="00433C6B"/>
    <w:pPr>
      <w:keepNext/>
      <w:overflowPunct w:val="0"/>
      <w:autoSpaceDE w:val="0"/>
      <w:autoSpaceDN w:val="0"/>
      <w:adjustRightInd w:val="0"/>
      <w:spacing w:before="240" w:after="60" w:line="240" w:lineRule="auto"/>
      <w:outlineLvl w:val="2"/>
    </w:pPr>
    <w:rPr>
      <w:rFonts w:ascii="Arial" w:hAnsi="Arial" w:cs="Arial"/>
      <w:b/>
      <w:bCs/>
      <w:kern w:val="16"/>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F0A7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F0A79"/>
    <w:rPr>
      <w:rFonts w:cs="Times New Roman"/>
    </w:rPr>
  </w:style>
  <w:style w:type="paragraph" w:styleId="Stopka">
    <w:name w:val="footer"/>
    <w:basedOn w:val="Normalny"/>
    <w:link w:val="StopkaZnak"/>
    <w:uiPriority w:val="99"/>
    <w:rsid w:val="00DF0A7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F0A79"/>
    <w:rPr>
      <w:rFonts w:cs="Times New Roman"/>
    </w:rPr>
  </w:style>
  <w:style w:type="paragraph" w:styleId="Tekstdymka">
    <w:name w:val="Balloon Text"/>
    <w:basedOn w:val="Normalny"/>
    <w:link w:val="TekstdymkaZnak"/>
    <w:uiPriority w:val="99"/>
    <w:semiHidden/>
    <w:rsid w:val="00DF0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F0A79"/>
    <w:rPr>
      <w:rFonts w:ascii="Tahoma" w:hAnsi="Tahoma" w:cs="Tahoma"/>
      <w:sz w:val="16"/>
      <w:szCs w:val="16"/>
    </w:rPr>
  </w:style>
  <w:style w:type="paragraph" w:customStyle="1" w:styleId="msolistparagraph0">
    <w:name w:val="msolistparagraph"/>
    <w:basedOn w:val="Normalny"/>
    <w:uiPriority w:val="99"/>
    <w:rsid w:val="00D257FA"/>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D257FA"/>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rsid w:val="0064730E"/>
    <w:rPr>
      <w:rFonts w:cs="Times New Roman"/>
      <w:sz w:val="16"/>
      <w:szCs w:val="16"/>
    </w:rPr>
  </w:style>
  <w:style w:type="paragraph" w:styleId="Tekstkomentarza">
    <w:name w:val="annotation text"/>
    <w:basedOn w:val="Normalny"/>
    <w:link w:val="TekstkomentarzaZnak"/>
    <w:uiPriority w:val="99"/>
    <w:semiHidden/>
    <w:rsid w:val="0064730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4730E"/>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64730E"/>
    <w:rPr>
      <w:b/>
      <w:bCs/>
    </w:rPr>
  </w:style>
  <w:style w:type="character" w:customStyle="1" w:styleId="TematkomentarzaZnak">
    <w:name w:val="Temat komentarza Znak"/>
    <w:basedOn w:val="TekstkomentarzaZnak"/>
    <w:link w:val="Tematkomentarza"/>
    <w:uiPriority w:val="99"/>
    <w:semiHidden/>
    <w:locked/>
    <w:rsid w:val="0064730E"/>
    <w:rPr>
      <w:rFonts w:ascii="Calibri" w:hAnsi="Calibri" w:cs="Times New Roman"/>
      <w:b/>
      <w:bCs/>
      <w:sz w:val="20"/>
      <w:szCs w:val="20"/>
    </w:rPr>
  </w:style>
  <w:style w:type="character" w:customStyle="1" w:styleId="Nagwek3Znak">
    <w:name w:val="Nagłówek 3 Znak"/>
    <w:basedOn w:val="Domylnaczcionkaakapitu"/>
    <w:link w:val="Nagwek3"/>
    <w:rsid w:val="00433C6B"/>
    <w:rPr>
      <w:rFonts w:ascii="Arial" w:eastAsia="Times New Roman" w:hAnsi="Arial" w:cs="Arial"/>
      <w:b/>
      <w:bCs/>
      <w:kern w:val="16"/>
      <w:sz w:val="26"/>
      <w:szCs w:val="26"/>
    </w:rPr>
  </w:style>
  <w:style w:type="paragraph" w:customStyle="1" w:styleId="ust">
    <w:name w:val="ust"/>
    <w:rsid w:val="00433C6B"/>
    <w:pPr>
      <w:spacing w:before="60" w:after="60"/>
      <w:ind w:left="426" w:hanging="284"/>
      <w:jc w:val="both"/>
    </w:pPr>
    <w:rPr>
      <w:rFonts w:ascii="Times New Roman" w:eastAsia="Times New Roman" w:hAnsi="Times New Roman"/>
      <w:sz w:val="24"/>
      <w:szCs w:val="24"/>
    </w:rPr>
  </w:style>
  <w:style w:type="paragraph" w:customStyle="1" w:styleId="Standard">
    <w:name w:val="Standard"/>
    <w:rsid w:val="00433C6B"/>
    <w:pPr>
      <w:suppressAutoHyphens/>
      <w:autoSpaceDN w:val="0"/>
      <w:spacing w:line="360" w:lineRule="auto"/>
      <w:jc w:val="both"/>
      <w:textAlignment w:val="baseline"/>
    </w:pPr>
    <w:rPr>
      <w:rFonts w:ascii="Arial" w:eastAsia="Times New Roman" w:hAnsi="Arial" w:cs="Arial"/>
      <w:kern w:val="3"/>
      <w:szCs w:val="24"/>
      <w:lang w:eastAsia="zh-CN"/>
    </w:rPr>
  </w:style>
  <w:style w:type="paragraph" w:styleId="NormalnyWeb">
    <w:name w:val="Normal (Web)"/>
    <w:basedOn w:val="Normalny"/>
    <w:uiPriority w:val="99"/>
    <w:unhideWhenUsed/>
    <w:rsid w:val="00014DED"/>
    <w:pPr>
      <w:spacing w:before="100" w:beforeAutospacing="1" w:after="100" w:afterAutospacing="1" w:line="240" w:lineRule="auto"/>
    </w:pPr>
    <w:rPr>
      <w:rFonts w:ascii="Times New Roman" w:hAnsi="Times New Roman"/>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7C04F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A79"/>
    <w:pPr>
      <w:spacing w:after="200" w:line="276" w:lineRule="auto"/>
    </w:pPr>
    <w:rPr>
      <w:rFonts w:eastAsia="Times New Roman"/>
      <w:lang w:eastAsia="en-US"/>
    </w:rPr>
  </w:style>
  <w:style w:type="paragraph" w:styleId="Nagwek3">
    <w:name w:val="heading 3"/>
    <w:basedOn w:val="Normalny"/>
    <w:next w:val="Normalny"/>
    <w:link w:val="Nagwek3Znak"/>
    <w:qFormat/>
    <w:locked/>
    <w:rsid w:val="00433C6B"/>
    <w:pPr>
      <w:keepNext/>
      <w:overflowPunct w:val="0"/>
      <w:autoSpaceDE w:val="0"/>
      <w:autoSpaceDN w:val="0"/>
      <w:adjustRightInd w:val="0"/>
      <w:spacing w:before="240" w:after="60" w:line="240" w:lineRule="auto"/>
      <w:outlineLvl w:val="2"/>
    </w:pPr>
    <w:rPr>
      <w:rFonts w:ascii="Arial" w:hAnsi="Arial" w:cs="Arial"/>
      <w:b/>
      <w:bCs/>
      <w:kern w:val="16"/>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F0A7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F0A79"/>
    <w:rPr>
      <w:rFonts w:cs="Times New Roman"/>
    </w:rPr>
  </w:style>
  <w:style w:type="paragraph" w:styleId="Stopka">
    <w:name w:val="footer"/>
    <w:basedOn w:val="Normalny"/>
    <w:link w:val="StopkaZnak"/>
    <w:uiPriority w:val="99"/>
    <w:rsid w:val="00DF0A7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F0A79"/>
    <w:rPr>
      <w:rFonts w:cs="Times New Roman"/>
    </w:rPr>
  </w:style>
  <w:style w:type="paragraph" w:styleId="Tekstdymka">
    <w:name w:val="Balloon Text"/>
    <w:basedOn w:val="Normalny"/>
    <w:link w:val="TekstdymkaZnak"/>
    <w:uiPriority w:val="99"/>
    <w:semiHidden/>
    <w:rsid w:val="00DF0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F0A79"/>
    <w:rPr>
      <w:rFonts w:ascii="Tahoma" w:hAnsi="Tahoma" w:cs="Tahoma"/>
      <w:sz w:val="16"/>
      <w:szCs w:val="16"/>
    </w:rPr>
  </w:style>
  <w:style w:type="paragraph" w:customStyle="1" w:styleId="msolistparagraph0">
    <w:name w:val="msolistparagraph"/>
    <w:basedOn w:val="Normalny"/>
    <w:uiPriority w:val="99"/>
    <w:rsid w:val="00D257FA"/>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D257FA"/>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rsid w:val="0064730E"/>
    <w:rPr>
      <w:rFonts w:cs="Times New Roman"/>
      <w:sz w:val="16"/>
      <w:szCs w:val="16"/>
    </w:rPr>
  </w:style>
  <w:style w:type="paragraph" w:styleId="Tekstkomentarza">
    <w:name w:val="annotation text"/>
    <w:basedOn w:val="Normalny"/>
    <w:link w:val="TekstkomentarzaZnak"/>
    <w:uiPriority w:val="99"/>
    <w:semiHidden/>
    <w:rsid w:val="0064730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4730E"/>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64730E"/>
    <w:rPr>
      <w:b/>
      <w:bCs/>
    </w:rPr>
  </w:style>
  <w:style w:type="character" w:customStyle="1" w:styleId="TematkomentarzaZnak">
    <w:name w:val="Temat komentarza Znak"/>
    <w:basedOn w:val="TekstkomentarzaZnak"/>
    <w:link w:val="Tematkomentarza"/>
    <w:uiPriority w:val="99"/>
    <w:semiHidden/>
    <w:locked/>
    <w:rsid w:val="0064730E"/>
    <w:rPr>
      <w:rFonts w:ascii="Calibri" w:hAnsi="Calibri" w:cs="Times New Roman"/>
      <w:b/>
      <w:bCs/>
      <w:sz w:val="20"/>
      <w:szCs w:val="20"/>
    </w:rPr>
  </w:style>
  <w:style w:type="character" w:customStyle="1" w:styleId="Nagwek3Znak">
    <w:name w:val="Nagłówek 3 Znak"/>
    <w:basedOn w:val="Domylnaczcionkaakapitu"/>
    <w:link w:val="Nagwek3"/>
    <w:rsid w:val="00433C6B"/>
    <w:rPr>
      <w:rFonts w:ascii="Arial" w:eastAsia="Times New Roman" w:hAnsi="Arial" w:cs="Arial"/>
      <w:b/>
      <w:bCs/>
      <w:kern w:val="16"/>
      <w:sz w:val="26"/>
      <w:szCs w:val="26"/>
    </w:rPr>
  </w:style>
  <w:style w:type="paragraph" w:customStyle="1" w:styleId="ust">
    <w:name w:val="ust"/>
    <w:rsid w:val="00433C6B"/>
    <w:pPr>
      <w:spacing w:before="60" w:after="60"/>
      <w:ind w:left="426" w:hanging="284"/>
      <w:jc w:val="both"/>
    </w:pPr>
    <w:rPr>
      <w:rFonts w:ascii="Times New Roman" w:eastAsia="Times New Roman" w:hAnsi="Times New Roman"/>
      <w:sz w:val="24"/>
      <w:szCs w:val="24"/>
    </w:rPr>
  </w:style>
  <w:style w:type="paragraph" w:customStyle="1" w:styleId="Standard">
    <w:name w:val="Standard"/>
    <w:rsid w:val="00433C6B"/>
    <w:pPr>
      <w:suppressAutoHyphens/>
      <w:autoSpaceDN w:val="0"/>
      <w:spacing w:line="360" w:lineRule="auto"/>
      <w:jc w:val="both"/>
      <w:textAlignment w:val="baseline"/>
    </w:pPr>
    <w:rPr>
      <w:rFonts w:ascii="Arial" w:eastAsia="Times New Roman" w:hAnsi="Arial" w:cs="Arial"/>
      <w:kern w:val="3"/>
      <w:szCs w:val="24"/>
      <w:lang w:eastAsia="zh-CN"/>
    </w:rPr>
  </w:style>
  <w:style w:type="paragraph" w:styleId="NormalnyWeb">
    <w:name w:val="Normal (Web)"/>
    <w:basedOn w:val="Normalny"/>
    <w:uiPriority w:val="99"/>
    <w:unhideWhenUsed/>
    <w:rsid w:val="00014DED"/>
    <w:pPr>
      <w:spacing w:before="100" w:beforeAutospacing="1" w:after="100" w:afterAutospacing="1" w:line="240" w:lineRule="auto"/>
    </w:pPr>
    <w:rPr>
      <w:rFonts w:ascii="Times New Roman" w:hAnsi="Times New Roman"/>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7C04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2561">
      <w:bodyDiv w:val="1"/>
      <w:marLeft w:val="0"/>
      <w:marRight w:val="0"/>
      <w:marTop w:val="0"/>
      <w:marBottom w:val="0"/>
      <w:divBdr>
        <w:top w:val="none" w:sz="0" w:space="0" w:color="auto"/>
        <w:left w:val="none" w:sz="0" w:space="0" w:color="auto"/>
        <w:bottom w:val="none" w:sz="0" w:space="0" w:color="auto"/>
        <w:right w:val="none" w:sz="0" w:space="0" w:color="auto"/>
      </w:divBdr>
    </w:div>
    <w:div w:id="465969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1010</Words>
  <Characters>5801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Czerwona Góra, 21</vt:lpstr>
    </vt:vector>
  </TitlesOfParts>
  <Company>Urząd Marszałkowski Kielce</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Czerwona Góra, 21</dc:title>
  <dc:creator>db</dc:creator>
  <cp:lastModifiedBy>wss</cp:lastModifiedBy>
  <cp:revision>13</cp:revision>
  <cp:lastPrinted>2015-06-22T10:50:00Z</cp:lastPrinted>
  <dcterms:created xsi:type="dcterms:W3CDTF">2019-11-26T06:17:00Z</dcterms:created>
  <dcterms:modified xsi:type="dcterms:W3CDTF">2019-11-26T12:42:00Z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